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6A0DF" w14:textId="1DA559EF" w:rsidR="00051064" w:rsidRDefault="00051064">
      <w:pPr>
        <w:jc w:val="center"/>
        <w:rPr>
          <w:rFonts w:ascii="CG Times" w:hAnsi="CG Times"/>
          <w:b/>
          <w:sz w:val="28"/>
        </w:rPr>
      </w:pPr>
    </w:p>
    <w:p w14:paraId="196A8D80" w14:textId="457C62C9" w:rsidR="00555EB9" w:rsidRDefault="009B5F54">
      <w:pPr>
        <w:jc w:val="center"/>
        <w:rPr>
          <w:rFonts w:ascii="CG Times" w:hAnsi="CG Times"/>
          <w:b/>
          <w:sz w:val="28"/>
        </w:rPr>
      </w:pPr>
      <w:r>
        <w:rPr>
          <w:noProof/>
          <w:lang w:val="en-AU" w:eastAsia="en-AU"/>
        </w:rPr>
        <w:drawing>
          <wp:inline distT="0" distB="0" distL="0" distR="0" wp14:anchorId="2F50F4DE" wp14:editId="4FCEC1BD">
            <wp:extent cx="5064760" cy="1200785"/>
            <wp:effectExtent l="0" t="0" r="2540" b="0"/>
            <wp:docPr id="1" name="Picture 1" descr="C:\Users\massab\AppData\Local\Temp\notes46281F\imdrf_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assab\AppData\Local\Temp\notes46281F\imdrf_logo_CMYK.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64760" cy="1200785"/>
                    </a:xfrm>
                    <a:prstGeom prst="rect">
                      <a:avLst/>
                    </a:prstGeom>
                    <a:noFill/>
                    <a:ln>
                      <a:noFill/>
                    </a:ln>
                  </pic:spPr>
                </pic:pic>
              </a:graphicData>
            </a:graphic>
          </wp:inline>
        </w:drawing>
      </w:r>
    </w:p>
    <w:p w14:paraId="27C33760" w14:textId="57E0E0D4" w:rsidR="00555EB9" w:rsidRDefault="00555EB9">
      <w:pPr>
        <w:jc w:val="right"/>
        <w:rPr>
          <w:rFonts w:ascii="CG Times" w:hAnsi="CG Times"/>
          <w:b/>
          <w:sz w:val="28"/>
        </w:rPr>
      </w:pPr>
    </w:p>
    <w:p w14:paraId="543B5E55" w14:textId="36EFFA3C" w:rsidR="00D90B42" w:rsidRDefault="00D90B42" w:rsidP="00D90B42">
      <w:pPr>
        <w:jc w:val="right"/>
        <w:rPr>
          <w:rFonts w:ascii="CG Times" w:hAnsi="CG Times"/>
          <w:b/>
          <w:sz w:val="28"/>
        </w:rPr>
      </w:pPr>
    </w:p>
    <w:p w14:paraId="6F812E19" w14:textId="6AA664B8" w:rsidR="00D90B42" w:rsidRPr="00867010" w:rsidRDefault="00D90B42" w:rsidP="00867010">
      <w:pPr>
        <w:jc w:val="center"/>
        <w:rPr>
          <w:b/>
        </w:rPr>
      </w:pPr>
      <w:r w:rsidRPr="00867010">
        <w:rPr>
          <w:rFonts w:eastAsiaTheme="minorEastAsia"/>
          <w:b/>
          <w:lang w:eastAsia="zh-CN"/>
        </w:rPr>
        <w:t>FINAL</w:t>
      </w:r>
      <w:r w:rsidRPr="00867010">
        <w:rPr>
          <w:b/>
        </w:rPr>
        <w:t xml:space="preserve"> DOCUMENT</w:t>
      </w:r>
    </w:p>
    <w:p w14:paraId="0C72CE06" w14:textId="77777777" w:rsidR="00867010" w:rsidRDefault="00867010" w:rsidP="00867010">
      <w:pPr>
        <w:jc w:val="center"/>
        <w:rPr>
          <w:rFonts w:eastAsiaTheme="minorEastAsia"/>
          <w:lang w:eastAsia="zh-CN"/>
        </w:rPr>
      </w:pPr>
    </w:p>
    <w:p w14:paraId="49D26DDE" w14:textId="77777777" w:rsidR="00D90B42" w:rsidRDefault="00D90B42" w:rsidP="00D90B42">
      <w:pPr>
        <w:jc w:val="center"/>
        <w:rPr>
          <w:rFonts w:eastAsiaTheme="minorEastAsia"/>
          <w:b/>
          <w:sz w:val="32"/>
          <w:szCs w:val="32"/>
        </w:rPr>
      </w:pPr>
      <w:r>
        <w:rPr>
          <w:b/>
          <w:sz w:val="32"/>
          <w:szCs w:val="32"/>
        </w:rPr>
        <w:t>International Medical Device Regulators Forum</w:t>
      </w:r>
    </w:p>
    <w:p w14:paraId="32D6C3A6" w14:textId="520C0F7D" w:rsidR="00555EB9" w:rsidRDefault="00555EB9">
      <w:pPr>
        <w:jc w:val="center"/>
        <w:rPr>
          <w:rFonts w:ascii="CG Times" w:hAnsi="CG Times"/>
          <w:b/>
          <w:sz w:val="42"/>
        </w:rPr>
      </w:pPr>
    </w:p>
    <w:p w14:paraId="33BB1CA1" w14:textId="77777777" w:rsidR="00D90B42" w:rsidRDefault="00D90B42">
      <w:pPr>
        <w:jc w:val="center"/>
        <w:rPr>
          <w:rFonts w:ascii="CG Times" w:hAnsi="CG Times"/>
          <w:b/>
          <w:sz w:val="42"/>
        </w:rPr>
      </w:pPr>
    </w:p>
    <w:p w14:paraId="5170DA3F" w14:textId="77777777" w:rsidR="00051064" w:rsidRDefault="00051064">
      <w:pPr>
        <w:jc w:val="center"/>
        <w:rPr>
          <w:rFonts w:ascii="CG Times" w:hAnsi="CG Times"/>
          <w:b/>
          <w:sz w:val="42"/>
        </w:rPr>
      </w:pPr>
    </w:p>
    <w:p w14:paraId="741C93FD" w14:textId="22F5FFC7" w:rsidR="00555EB9" w:rsidRDefault="009B5F54">
      <w:pPr>
        <w:rPr>
          <w:rFonts w:ascii="CG Times" w:hAnsi="CG Times"/>
          <w:sz w:val="32"/>
        </w:rPr>
      </w:pPr>
      <w:r>
        <w:rPr>
          <w:rFonts w:ascii="CG Times" w:hAnsi="CG Times"/>
          <w:b/>
          <w:sz w:val="32"/>
        </w:rPr>
        <w:t xml:space="preserve">Title: </w:t>
      </w:r>
      <w:r>
        <w:rPr>
          <w:rFonts w:ascii="CG Times" w:hAnsi="CG Times"/>
          <w:sz w:val="32"/>
        </w:rPr>
        <w:t xml:space="preserve">Clinical </w:t>
      </w:r>
      <w:r w:rsidR="00C00B7F">
        <w:rPr>
          <w:rFonts w:ascii="CG Times" w:hAnsi="CG Times"/>
          <w:sz w:val="32"/>
        </w:rPr>
        <w:t>I</w:t>
      </w:r>
      <w:r>
        <w:rPr>
          <w:rFonts w:ascii="CG Times" w:hAnsi="CG Times"/>
          <w:sz w:val="32"/>
        </w:rPr>
        <w:t>nvestigation</w:t>
      </w:r>
    </w:p>
    <w:p w14:paraId="07664534" w14:textId="77777777" w:rsidR="00555EB9" w:rsidRDefault="00555EB9">
      <w:pPr>
        <w:rPr>
          <w:rFonts w:ascii="CG Times" w:hAnsi="CG Times"/>
          <w:b/>
          <w:sz w:val="32"/>
        </w:rPr>
      </w:pPr>
    </w:p>
    <w:p w14:paraId="79798BC4" w14:textId="77777777" w:rsidR="00555EB9" w:rsidRDefault="009B5F54">
      <w:pPr>
        <w:rPr>
          <w:rFonts w:ascii="CG Times" w:hAnsi="CG Times"/>
          <w:sz w:val="32"/>
        </w:rPr>
      </w:pPr>
      <w:r>
        <w:rPr>
          <w:rFonts w:ascii="CG Times" w:hAnsi="CG Times"/>
          <w:b/>
          <w:sz w:val="32"/>
        </w:rPr>
        <w:t xml:space="preserve">Authoring Group: </w:t>
      </w:r>
      <w:r>
        <w:rPr>
          <w:rFonts w:ascii="CG Times" w:hAnsi="CG Times"/>
          <w:sz w:val="32"/>
        </w:rPr>
        <w:t>Medical Device Clinical Evaluation Working Group</w:t>
      </w:r>
    </w:p>
    <w:p w14:paraId="46F3E107" w14:textId="77777777" w:rsidR="00555EB9" w:rsidRDefault="00555EB9">
      <w:pPr>
        <w:rPr>
          <w:rFonts w:ascii="CG Times" w:hAnsi="CG Times"/>
          <w:sz w:val="32"/>
        </w:rPr>
      </w:pPr>
    </w:p>
    <w:p w14:paraId="150CA914" w14:textId="3091A9B9" w:rsidR="00555EB9" w:rsidRDefault="009B5F54">
      <w:pPr>
        <w:rPr>
          <w:rFonts w:ascii="CG Times" w:hAnsi="CG Times"/>
          <w:b/>
          <w:sz w:val="32"/>
        </w:rPr>
      </w:pPr>
      <w:r>
        <w:rPr>
          <w:rFonts w:ascii="CG Times" w:hAnsi="CG Times"/>
          <w:b/>
          <w:sz w:val="32"/>
        </w:rPr>
        <w:t xml:space="preserve">Date: </w:t>
      </w:r>
      <w:r w:rsidR="00867010">
        <w:rPr>
          <w:rFonts w:ascii="CG Times" w:hAnsi="CG Times"/>
          <w:sz w:val="32"/>
        </w:rPr>
        <w:t xml:space="preserve">10 </w:t>
      </w:r>
      <w:r w:rsidR="007F503A">
        <w:rPr>
          <w:rFonts w:ascii="CG Times" w:hAnsi="CG Times"/>
          <w:sz w:val="32"/>
        </w:rPr>
        <w:t>October</w:t>
      </w:r>
      <w:r>
        <w:rPr>
          <w:rFonts w:ascii="CG Times" w:hAnsi="CG Times"/>
          <w:sz w:val="32"/>
        </w:rPr>
        <w:t xml:space="preserve"> 2019 </w:t>
      </w:r>
    </w:p>
    <w:p w14:paraId="21BF2E72" w14:textId="77777777" w:rsidR="00555EB9" w:rsidRDefault="00555EB9">
      <w:pPr>
        <w:jc w:val="right"/>
        <w:rPr>
          <w:rFonts w:ascii="CG Times" w:hAnsi="CG Times"/>
          <w:sz w:val="32"/>
        </w:rPr>
      </w:pPr>
    </w:p>
    <w:p w14:paraId="3E659E83" w14:textId="374CEE33" w:rsidR="00555EB9" w:rsidRDefault="00555EB9">
      <w:pPr>
        <w:jc w:val="right"/>
        <w:rPr>
          <w:rFonts w:ascii="CG Times" w:hAnsi="CG Times"/>
          <w:sz w:val="32"/>
        </w:rPr>
      </w:pPr>
    </w:p>
    <w:p w14:paraId="1D5ADD97" w14:textId="2426A620" w:rsidR="00867010" w:rsidRDefault="00867010">
      <w:pPr>
        <w:jc w:val="right"/>
        <w:rPr>
          <w:rFonts w:ascii="CG Times" w:hAnsi="CG Times"/>
          <w:sz w:val="32"/>
        </w:rPr>
      </w:pPr>
    </w:p>
    <w:p w14:paraId="79BFED64" w14:textId="05984983" w:rsidR="00867010" w:rsidRDefault="00867010">
      <w:pPr>
        <w:jc w:val="right"/>
        <w:rPr>
          <w:rFonts w:ascii="CG Times" w:hAnsi="CG Times"/>
          <w:sz w:val="32"/>
        </w:rPr>
      </w:pPr>
    </w:p>
    <w:p w14:paraId="3E48C89C" w14:textId="3FE23A52" w:rsidR="00867010" w:rsidRDefault="00867010">
      <w:pPr>
        <w:jc w:val="right"/>
        <w:rPr>
          <w:rFonts w:ascii="CG Times" w:hAnsi="CG Times"/>
          <w:sz w:val="32"/>
        </w:rPr>
      </w:pPr>
    </w:p>
    <w:p w14:paraId="64E43C85" w14:textId="77777777" w:rsidR="00867010" w:rsidRDefault="00867010">
      <w:pPr>
        <w:jc w:val="right"/>
        <w:rPr>
          <w:rFonts w:ascii="CG Times" w:hAnsi="CG Times"/>
          <w:sz w:val="32"/>
        </w:rPr>
      </w:pPr>
    </w:p>
    <w:p w14:paraId="5B7ECBEC" w14:textId="77777777" w:rsidR="00555EB9" w:rsidRDefault="00555EB9">
      <w:pPr>
        <w:jc w:val="right"/>
        <w:rPr>
          <w:rFonts w:ascii="CG Times" w:hAnsi="CG Times"/>
          <w:sz w:val="32"/>
        </w:rPr>
      </w:pPr>
    </w:p>
    <w:p w14:paraId="2A620FC0" w14:textId="2046F272" w:rsidR="00555EB9" w:rsidRPr="00867010" w:rsidRDefault="00867010">
      <w:pPr>
        <w:jc w:val="right"/>
        <w:rPr>
          <w:rFonts w:ascii="CG Times" w:hAnsi="CG Times"/>
          <w:sz w:val="32"/>
          <w:lang w:eastAsia="zh-CN"/>
        </w:rPr>
      </w:pPr>
      <w:r>
        <w:rPr>
          <w:rFonts w:ascii="CG Times" w:hAnsi="CG Times"/>
          <w:sz w:val="32"/>
          <w:lang w:eastAsia="zh-CN"/>
        </w:rPr>
        <w:t xml:space="preserve">Elena M. </w:t>
      </w:r>
      <w:proofErr w:type="spellStart"/>
      <w:r>
        <w:rPr>
          <w:rFonts w:ascii="CG Times" w:hAnsi="CG Times"/>
          <w:sz w:val="32"/>
          <w:lang w:eastAsia="zh-CN"/>
        </w:rPr>
        <w:t>Astapenko</w:t>
      </w:r>
      <w:proofErr w:type="spellEnd"/>
      <w:r>
        <w:rPr>
          <w:rFonts w:ascii="CG Times" w:hAnsi="CG Times"/>
          <w:sz w:val="32"/>
          <w:lang w:eastAsia="zh-CN"/>
        </w:rPr>
        <w:t>, IMDRF Chair</w:t>
      </w:r>
    </w:p>
    <w:p w14:paraId="0F030BA0" w14:textId="23656FD4" w:rsidR="00555EB9" w:rsidRDefault="009B5F54">
      <w:pPr>
        <w:ind w:left="3600"/>
        <w:jc w:val="center"/>
        <w:rPr>
          <w:rFonts w:ascii="CG Times" w:hAnsi="CG Times"/>
          <w:b/>
          <w:sz w:val="32"/>
        </w:rPr>
      </w:pPr>
      <w:r>
        <w:rPr>
          <w:rFonts w:ascii="CG Times" w:hAnsi="CG Times"/>
          <w:b/>
          <w:sz w:val="32"/>
        </w:rPr>
        <w:t xml:space="preserve">             </w:t>
      </w:r>
    </w:p>
    <w:p w14:paraId="02E1A88F" w14:textId="77777777" w:rsidR="00555EB9" w:rsidRDefault="00555EB9">
      <w:pPr>
        <w:rPr>
          <w:rFonts w:ascii="CG Times" w:hAnsi="CG Times"/>
          <w:b/>
          <w:sz w:val="32"/>
        </w:rPr>
      </w:pPr>
    </w:p>
    <w:p w14:paraId="260C289A" w14:textId="77777777" w:rsidR="00555EB9" w:rsidRDefault="009B5F54">
      <w: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3B7E6DB2" w14:textId="77777777" w:rsidR="00555EB9" w:rsidRDefault="00555EB9"/>
    <w:p w14:paraId="2694B710" w14:textId="06A330CD" w:rsidR="00555EB9" w:rsidRDefault="00171883">
      <w:pPr>
        <w:sectPr w:rsidR="00555EB9">
          <w:headerReference w:type="default" r:id="rId10"/>
          <w:pgSz w:w="12240" w:h="15840"/>
          <w:pgMar w:top="1134" w:right="1440" w:bottom="1440" w:left="1440" w:header="720" w:footer="720" w:gutter="0"/>
          <w:pgBorders w:display="firstPage" w:offsetFrom="page">
            <w:top w:val="single" w:sz="12" w:space="28" w:color="000000"/>
            <w:left w:val="single" w:sz="12" w:space="28" w:color="000000"/>
            <w:bottom w:val="single" w:sz="12" w:space="28" w:color="000000"/>
            <w:right w:val="single" w:sz="12" w:space="28" w:color="000000"/>
          </w:pgBorders>
          <w:cols w:space="720"/>
        </w:sectPr>
      </w:pPr>
      <w:r>
        <w:t>Copyright © 2019</w:t>
      </w:r>
      <w:r w:rsidR="009B5F54">
        <w:t xml:space="preserve"> by the International Medical Device Regulators Forum</w:t>
      </w:r>
    </w:p>
    <w:p w14:paraId="323FA932" w14:textId="77777777" w:rsidR="00555EB9" w:rsidRDefault="00555EB9">
      <w:pPr>
        <w:rPr>
          <w:rFonts w:eastAsia="Times New Roman"/>
        </w:rPr>
        <w:sectPr w:rsidR="00555EB9">
          <w:type w:val="continuous"/>
          <w:pgSz w:w="12240" w:h="15840"/>
          <w:pgMar w:top="1100" w:right="1220" w:bottom="280" w:left="1280" w:header="720" w:footer="720" w:gutter="0"/>
          <w:cols w:space="720"/>
        </w:sectPr>
      </w:pPr>
    </w:p>
    <w:p w14:paraId="4F4AA879" w14:textId="77777777" w:rsidR="00555EB9" w:rsidRDefault="00555EB9">
      <w:pPr>
        <w:jc w:val="center"/>
        <w:rPr>
          <w:b/>
          <w:sz w:val="28"/>
        </w:rPr>
      </w:pPr>
    </w:p>
    <w:p w14:paraId="7E2E0478" w14:textId="77777777" w:rsidR="00555EB9" w:rsidRDefault="009B5F54">
      <w:pPr>
        <w:jc w:val="center"/>
        <w:rPr>
          <w:b/>
          <w:sz w:val="28"/>
        </w:rPr>
      </w:pPr>
      <w:r>
        <w:rPr>
          <w:b/>
          <w:sz w:val="28"/>
        </w:rPr>
        <w:t>CONTENTS</w:t>
      </w:r>
    </w:p>
    <w:p w14:paraId="466E599E" w14:textId="77777777" w:rsidR="00555EB9" w:rsidRDefault="00555EB9">
      <w:pPr>
        <w:ind w:firstLine="720"/>
        <w:rPr>
          <w:b/>
          <w:sz w:val="28"/>
        </w:rPr>
      </w:pPr>
    </w:p>
    <w:p w14:paraId="483FFC1D" w14:textId="1E6EB476" w:rsidR="00D90B42" w:rsidRPr="00540689" w:rsidRDefault="009B5F54">
      <w:pPr>
        <w:pStyle w:val="Verzeichnis1"/>
        <w:rPr>
          <w:rFonts w:asciiTheme="minorHAnsi" w:eastAsiaTheme="minorEastAsia" w:hAnsiTheme="minorHAnsi" w:cstheme="minorBidi"/>
          <w:noProof/>
          <w:kern w:val="2"/>
          <w:sz w:val="21"/>
          <w:szCs w:val="22"/>
        </w:rPr>
      </w:pPr>
      <w:r>
        <w:rPr>
          <w:szCs w:val="24"/>
        </w:rPr>
        <w:fldChar w:fldCharType="begin"/>
      </w:r>
      <w:r>
        <w:rPr>
          <w:szCs w:val="24"/>
        </w:rPr>
        <w:instrText xml:space="preserve"> TOC \o "1-3" \h \z \u </w:instrText>
      </w:r>
      <w:r>
        <w:rPr>
          <w:szCs w:val="24"/>
        </w:rPr>
        <w:fldChar w:fldCharType="separate"/>
      </w:r>
      <w:hyperlink w:anchor="_Toc21544249" w:history="1">
        <w:r w:rsidR="00D90B42" w:rsidRPr="00540689">
          <w:rPr>
            <w:rStyle w:val="Hyperlink"/>
            <w:noProof/>
          </w:rPr>
          <w:t>Preface</w:t>
        </w:r>
        <w:r w:rsidR="00D90B42" w:rsidRPr="00540689">
          <w:rPr>
            <w:noProof/>
            <w:webHidden/>
          </w:rPr>
          <w:tab/>
        </w:r>
      </w:hyperlink>
    </w:p>
    <w:p w14:paraId="59B7C80A" w14:textId="79AD3DC6" w:rsidR="00D90B42" w:rsidRPr="00540689" w:rsidRDefault="003A5543">
      <w:pPr>
        <w:pStyle w:val="Verzeichnis1"/>
        <w:rPr>
          <w:rFonts w:asciiTheme="minorHAnsi" w:eastAsiaTheme="minorEastAsia" w:hAnsiTheme="minorHAnsi" w:cstheme="minorBidi"/>
          <w:noProof/>
          <w:kern w:val="2"/>
          <w:sz w:val="21"/>
          <w:szCs w:val="22"/>
        </w:rPr>
      </w:pPr>
      <w:hyperlink w:anchor="_Toc21544250" w:history="1">
        <w:r w:rsidR="00D90B42" w:rsidRPr="00540689">
          <w:rPr>
            <w:rStyle w:val="Hyperlink"/>
            <w:noProof/>
          </w:rPr>
          <w:t>1.0 Introduction</w:t>
        </w:r>
        <w:r w:rsidR="00D90B42" w:rsidRPr="00540689">
          <w:rPr>
            <w:noProof/>
            <w:webHidden/>
          </w:rPr>
          <w:tab/>
        </w:r>
        <w:r w:rsidR="00D90B42" w:rsidRPr="00540689">
          <w:rPr>
            <w:noProof/>
            <w:webHidden/>
          </w:rPr>
          <w:fldChar w:fldCharType="begin"/>
        </w:r>
        <w:r w:rsidR="00D90B42" w:rsidRPr="00540689">
          <w:rPr>
            <w:noProof/>
            <w:webHidden/>
          </w:rPr>
          <w:instrText xml:space="preserve"> PAGEREF _Toc21544250 \h </w:instrText>
        </w:r>
        <w:r w:rsidR="00D90B42" w:rsidRPr="00540689">
          <w:rPr>
            <w:noProof/>
            <w:webHidden/>
          </w:rPr>
        </w:r>
        <w:r w:rsidR="00D90B42" w:rsidRPr="00540689">
          <w:rPr>
            <w:noProof/>
            <w:webHidden/>
          </w:rPr>
          <w:fldChar w:fldCharType="separate"/>
        </w:r>
        <w:r w:rsidR="00D90B42" w:rsidRPr="00540689">
          <w:rPr>
            <w:noProof/>
            <w:webHidden/>
          </w:rPr>
          <w:t>4</w:t>
        </w:r>
        <w:r w:rsidR="00D90B42" w:rsidRPr="00540689">
          <w:rPr>
            <w:noProof/>
            <w:webHidden/>
          </w:rPr>
          <w:fldChar w:fldCharType="end"/>
        </w:r>
      </w:hyperlink>
    </w:p>
    <w:p w14:paraId="7A8209DC" w14:textId="7A3A77FB" w:rsidR="00D90B42" w:rsidRPr="00540689" w:rsidRDefault="003A5543">
      <w:pPr>
        <w:pStyle w:val="Verzeichnis1"/>
        <w:rPr>
          <w:rFonts w:asciiTheme="minorHAnsi" w:eastAsiaTheme="minorEastAsia" w:hAnsiTheme="minorHAnsi" w:cstheme="minorBidi"/>
          <w:noProof/>
          <w:kern w:val="2"/>
          <w:sz w:val="21"/>
          <w:szCs w:val="22"/>
        </w:rPr>
      </w:pPr>
      <w:hyperlink w:anchor="_Toc21544251" w:history="1">
        <w:r w:rsidR="00D90B42" w:rsidRPr="00540689">
          <w:rPr>
            <w:rStyle w:val="Hyperlink"/>
            <w:noProof/>
          </w:rPr>
          <w:t>2.0 Scope</w:t>
        </w:r>
        <w:r w:rsidR="00D90B42" w:rsidRPr="00540689">
          <w:rPr>
            <w:noProof/>
            <w:webHidden/>
          </w:rPr>
          <w:tab/>
        </w:r>
        <w:r w:rsidR="00D90B42" w:rsidRPr="00540689">
          <w:rPr>
            <w:noProof/>
            <w:webHidden/>
          </w:rPr>
          <w:fldChar w:fldCharType="begin"/>
        </w:r>
        <w:r w:rsidR="00D90B42" w:rsidRPr="00540689">
          <w:rPr>
            <w:noProof/>
            <w:webHidden/>
          </w:rPr>
          <w:instrText xml:space="preserve"> PAGEREF _Toc21544251 \h </w:instrText>
        </w:r>
        <w:r w:rsidR="00D90B42" w:rsidRPr="00540689">
          <w:rPr>
            <w:noProof/>
            <w:webHidden/>
          </w:rPr>
        </w:r>
        <w:r w:rsidR="00D90B42" w:rsidRPr="00540689">
          <w:rPr>
            <w:noProof/>
            <w:webHidden/>
          </w:rPr>
          <w:fldChar w:fldCharType="separate"/>
        </w:r>
        <w:r w:rsidR="00D90B42" w:rsidRPr="00540689">
          <w:rPr>
            <w:noProof/>
            <w:webHidden/>
          </w:rPr>
          <w:t>4</w:t>
        </w:r>
        <w:r w:rsidR="00D90B42" w:rsidRPr="00540689">
          <w:rPr>
            <w:noProof/>
            <w:webHidden/>
          </w:rPr>
          <w:fldChar w:fldCharType="end"/>
        </w:r>
      </w:hyperlink>
    </w:p>
    <w:p w14:paraId="69C14224" w14:textId="79367794" w:rsidR="00D90B42" w:rsidRPr="00540689" w:rsidRDefault="003A5543">
      <w:pPr>
        <w:pStyle w:val="Verzeichnis1"/>
        <w:rPr>
          <w:rFonts w:asciiTheme="minorHAnsi" w:eastAsiaTheme="minorEastAsia" w:hAnsiTheme="minorHAnsi" w:cstheme="minorBidi"/>
          <w:noProof/>
          <w:kern w:val="2"/>
          <w:sz w:val="21"/>
          <w:szCs w:val="22"/>
        </w:rPr>
      </w:pPr>
      <w:hyperlink w:anchor="_Toc21544252" w:history="1">
        <w:r w:rsidR="00D90B42" w:rsidRPr="00540689">
          <w:rPr>
            <w:rStyle w:val="Hyperlink"/>
            <w:noProof/>
          </w:rPr>
          <w:t>3.0 References</w:t>
        </w:r>
        <w:r w:rsidR="00D90B42" w:rsidRPr="00540689">
          <w:rPr>
            <w:noProof/>
            <w:webHidden/>
          </w:rPr>
          <w:tab/>
        </w:r>
        <w:r w:rsidR="00D90B42" w:rsidRPr="00540689">
          <w:rPr>
            <w:noProof/>
            <w:webHidden/>
          </w:rPr>
          <w:fldChar w:fldCharType="begin"/>
        </w:r>
        <w:r w:rsidR="00D90B42" w:rsidRPr="00540689">
          <w:rPr>
            <w:noProof/>
            <w:webHidden/>
          </w:rPr>
          <w:instrText xml:space="preserve"> PAGEREF _Toc21544252 \h </w:instrText>
        </w:r>
        <w:r w:rsidR="00D90B42" w:rsidRPr="00540689">
          <w:rPr>
            <w:noProof/>
            <w:webHidden/>
          </w:rPr>
        </w:r>
        <w:r w:rsidR="00D90B42" w:rsidRPr="00540689">
          <w:rPr>
            <w:noProof/>
            <w:webHidden/>
          </w:rPr>
          <w:fldChar w:fldCharType="separate"/>
        </w:r>
        <w:r w:rsidR="00D90B42" w:rsidRPr="00540689">
          <w:rPr>
            <w:noProof/>
            <w:webHidden/>
          </w:rPr>
          <w:t>5</w:t>
        </w:r>
        <w:r w:rsidR="00D90B42" w:rsidRPr="00540689">
          <w:rPr>
            <w:noProof/>
            <w:webHidden/>
          </w:rPr>
          <w:fldChar w:fldCharType="end"/>
        </w:r>
      </w:hyperlink>
    </w:p>
    <w:p w14:paraId="36135DC8" w14:textId="6EF261AA" w:rsidR="00D90B42" w:rsidRPr="00540689" w:rsidRDefault="003A5543">
      <w:pPr>
        <w:pStyle w:val="Verzeichnis1"/>
        <w:rPr>
          <w:rFonts w:asciiTheme="minorHAnsi" w:eastAsiaTheme="minorEastAsia" w:hAnsiTheme="minorHAnsi" w:cstheme="minorBidi"/>
          <w:noProof/>
          <w:kern w:val="2"/>
          <w:sz w:val="21"/>
          <w:szCs w:val="22"/>
        </w:rPr>
      </w:pPr>
      <w:hyperlink w:anchor="_Toc21544253" w:history="1">
        <w:r w:rsidR="00D90B42" w:rsidRPr="00540689">
          <w:rPr>
            <w:rStyle w:val="Hyperlink"/>
            <w:noProof/>
          </w:rPr>
          <w:t>4.0 Definitions</w:t>
        </w:r>
        <w:r w:rsidR="00D90B42" w:rsidRPr="00540689">
          <w:rPr>
            <w:noProof/>
            <w:webHidden/>
          </w:rPr>
          <w:tab/>
        </w:r>
        <w:r w:rsidR="00D90B42" w:rsidRPr="00540689">
          <w:rPr>
            <w:noProof/>
            <w:webHidden/>
          </w:rPr>
          <w:fldChar w:fldCharType="begin"/>
        </w:r>
        <w:r w:rsidR="00D90B42" w:rsidRPr="00540689">
          <w:rPr>
            <w:noProof/>
            <w:webHidden/>
          </w:rPr>
          <w:instrText xml:space="preserve"> PAGEREF _Toc21544253 \h </w:instrText>
        </w:r>
        <w:r w:rsidR="00D90B42" w:rsidRPr="00540689">
          <w:rPr>
            <w:noProof/>
            <w:webHidden/>
          </w:rPr>
        </w:r>
        <w:r w:rsidR="00D90B42" w:rsidRPr="00540689">
          <w:rPr>
            <w:noProof/>
            <w:webHidden/>
          </w:rPr>
          <w:fldChar w:fldCharType="separate"/>
        </w:r>
        <w:r w:rsidR="00D90B42" w:rsidRPr="00540689">
          <w:rPr>
            <w:noProof/>
            <w:webHidden/>
          </w:rPr>
          <w:t>5</w:t>
        </w:r>
        <w:r w:rsidR="00D90B42" w:rsidRPr="00540689">
          <w:rPr>
            <w:noProof/>
            <w:webHidden/>
          </w:rPr>
          <w:fldChar w:fldCharType="end"/>
        </w:r>
      </w:hyperlink>
    </w:p>
    <w:p w14:paraId="2001A16B" w14:textId="69BF8514" w:rsidR="00D90B42" w:rsidRPr="00540689" w:rsidRDefault="003A5543">
      <w:pPr>
        <w:pStyle w:val="Verzeichnis1"/>
        <w:rPr>
          <w:rFonts w:asciiTheme="minorHAnsi" w:eastAsiaTheme="minorEastAsia" w:hAnsiTheme="minorHAnsi" w:cstheme="minorBidi"/>
          <w:noProof/>
          <w:kern w:val="2"/>
          <w:sz w:val="21"/>
          <w:szCs w:val="22"/>
        </w:rPr>
      </w:pPr>
      <w:hyperlink w:anchor="_Toc21544254" w:history="1">
        <w:r w:rsidR="00D90B42" w:rsidRPr="00540689">
          <w:rPr>
            <w:rStyle w:val="Hyperlink"/>
            <w:noProof/>
          </w:rPr>
          <w:t>5.0 General Principles When Considering the Need for a Clinical Investigation</w:t>
        </w:r>
        <w:r w:rsidR="00D90B42" w:rsidRPr="00540689">
          <w:rPr>
            <w:noProof/>
            <w:webHidden/>
          </w:rPr>
          <w:tab/>
        </w:r>
        <w:r w:rsidR="00D90B42" w:rsidRPr="00540689">
          <w:rPr>
            <w:noProof/>
            <w:webHidden/>
          </w:rPr>
          <w:fldChar w:fldCharType="begin"/>
        </w:r>
        <w:r w:rsidR="00D90B42" w:rsidRPr="00540689">
          <w:rPr>
            <w:noProof/>
            <w:webHidden/>
          </w:rPr>
          <w:instrText xml:space="preserve"> PAGEREF _Toc21544254 \h </w:instrText>
        </w:r>
        <w:r w:rsidR="00D90B42" w:rsidRPr="00540689">
          <w:rPr>
            <w:noProof/>
            <w:webHidden/>
          </w:rPr>
        </w:r>
        <w:r w:rsidR="00D90B42" w:rsidRPr="00540689">
          <w:rPr>
            <w:noProof/>
            <w:webHidden/>
          </w:rPr>
          <w:fldChar w:fldCharType="separate"/>
        </w:r>
        <w:r w:rsidR="00D90B42" w:rsidRPr="00540689">
          <w:rPr>
            <w:noProof/>
            <w:webHidden/>
          </w:rPr>
          <w:t>7</w:t>
        </w:r>
        <w:r w:rsidR="00D90B42" w:rsidRPr="00540689">
          <w:rPr>
            <w:noProof/>
            <w:webHidden/>
          </w:rPr>
          <w:fldChar w:fldCharType="end"/>
        </w:r>
      </w:hyperlink>
    </w:p>
    <w:p w14:paraId="799A3E97" w14:textId="047A69C1" w:rsidR="00D90B42" w:rsidRPr="00540689" w:rsidRDefault="003A5543">
      <w:pPr>
        <w:pStyle w:val="Verzeichnis1"/>
        <w:rPr>
          <w:rFonts w:asciiTheme="minorHAnsi" w:eastAsiaTheme="minorEastAsia" w:hAnsiTheme="minorHAnsi" w:cstheme="minorBidi"/>
          <w:noProof/>
          <w:kern w:val="2"/>
          <w:sz w:val="21"/>
          <w:szCs w:val="22"/>
        </w:rPr>
      </w:pPr>
      <w:hyperlink w:anchor="_Toc21544255" w:history="1">
        <w:r w:rsidR="00D90B42" w:rsidRPr="00540689">
          <w:rPr>
            <w:rStyle w:val="Hyperlink"/>
            <w:noProof/>
          </w:rPr>
          <w:t>6.0 General Principles of Clinical Investigation Design</w:t>
        </w:r>
        <w:r w:rsidR="00D90B42" w:rsidRPr="00540689">
          <w:rPr>
            <w:noProof/>
            <w:webHidden/>
          </w:rPr>
          <w:tab/>
        </w:r>
        <w:r w:rsidR="00D90B42" w:rsidRPr="00540689">
          <w:rPr>
            <w:noProof/>
            <w:webHidden/>
          </w:rPr>
          <w:fldChar w:fldCharType="begin"/>
        </w:r>
        <w:r w:rsidR="00D90B42" w:rsidRPr="00540689">
          <w:rPr>
            <w:noProof/>
            <w:webHidden/>
          </w:rPr>
          <w:instrText xml:space="preserve"> PAGEREF _Toc21544255 \h </w:instrText>
        </w:r>
        <w:r w:rsidR="00D90B42" w:rsidRPr="00540689">
          <w:rPr>
            <w:noProof/>
            <w:webHidden/>
          </w:rPr>
        </w:r>
        <w:r w:rsidR="00D90B42" w:rsidRPr="00540689">
          <w:rPr>
            <w:noProof/>
            <w:webHidden/>
          </w:rPr>
          <w:fldChar w:fldCharType="separate"/>
        </w:r>
        <w:r w:rsidR="00D90B42" w:rsidRPr="00540689">
          <w:rPr>
            <w:noProof/>
            <w:webHidden/>
          </w:rPr>
          <w:t>9</w:t>
        </w:r>
        <w:r w:rsidR="00D90B42" w:rsidRPr="00540689">
          <w:rPr>
            <w:noProof/>
            <w:webHidden/>
          </w:rPr>
          <w:fldChar w:fldCharType="end"/>
        </w:r>
      </w:hyperlink>
    </w:p>
    <w:p w14:paraId="2D6013F4" w14:textId="4EF4770A" w:rsidR="00D90B42" w:rsidRDefault="003A5543">
      <w:pPr>
        <w:pStyle w:val="Verzeichnis1"/>
        <w:rPr>
          <w:rFonts w:asciiTheme="minorHAnsi" w:eastAsiaTheme="minorEastAsia" w:hAnsiTheme="minorHAnsi" w:cstheme="minorBidi"/>
          <w:noProof/>
          <w:kern w:val="2"/>
          <w:sz w:val="21"/>
          <w:szCs w:val="22"/>
        </w:rPr>
      </w:pPr>
      <w:hyperlink w:anchor="_Toc21544256" w:history="1">
        <w:r w:rsidR="00D90B42" w:rsidRPr="00540689">
          <w:rPr>
            <w:rStyle w:val="Hyperlink"/>
            <w:noProof/>
          </w:rPr>
          <w:t>7.0 Ethical Considerations for Clinical Investigations</w:t>
        </w:r>
        <w:r w:rsidR="00D90B42" w:rsidRPr="00540689">
          <w:rPr>
            <w:noProof/>
            <w:webHidden/>
          </w:rPr>
          <w:tab/>
        </w:r>
        <w:r w:rsidR="00D90B42" w:rsidRPr="00540689">
          <w:rPr>
            <w:noProof/>
            <w:webHidden/>
          </w:rPr>
          <w:fldChar w:fldCharType="begin"/>
        </w:r>
        <w:r w:rsidR="00D90B42" w:rsidRPr="00540689">
          <w:rPr>
            <w:noProof/>
            <w:webHidden/>
          </w:rPr>
          <w:instrText xml:space="preserve"> PAGEREF _Toc21544256 \h </w:instrText>
        </w:r>
        <w:r w:rsidR="00D90B42" w:rsidRPr="00540689">
          <w:rPr>
            <w:noProof/>
            <w:webHidden/>
          </w:rPr>
        </w:r>
        <w:r w:rsidR="00D90B42" w:rsidRPr="00540689">
          <w:rPr>
            <w:noProof/>
            <w:webHidden/>
          </w:rPr>
          <w:fldChar w:fldCharType="separate"/>
        </w:r>
        <w:r w:rsidR="00D90B42" w:rsidRPr="00540689">
          <w:rPr>
            <w:noProof/>
            <w:webHidden/>
          </w:rPr>
          <w:t>11</w:t>
        </w:r>
        <w:r w:rsidR="00D90B42" w:rsidRPr="00540689">
          <w:rPr>
            <w:noProof/>
            <w:webHidden/>
          </w:rPr>
          <w:fldChar w:fldCharType="end"/>
        </w:r>
      </w:hyperlink>
    </w:p>
    <w:p w14:paraId="5968845C" w14:textId="690A392A" w:rsidR="00555EB9" w:rsidRDefault="009B5F54" w:rsidP="00696EBA">
      <w:pPr>
        <w:rPr>
          <w:szCs w:val="24"/>
        </w:rPr>
      </w:pPr>
      <w:r>
        <w:rPr>
          <w:szCs w:val="24"/>
        </w:rPr>
        <w:fldChar w:fldCharType="end"/>
      </w:r>
    </w:p>
    <w:p w14:paraId="19AAAC2B" w14:textId="77777777" w:rsidR="00555EB9" w:rsidRDefault="009B5F54">
      <w:pPr>
        <w:pStyle w:val="berschrift1"/>
      </w:pPr>
      <w:r>
        <w:br w:type="page"/>
      </w:r>
      <w:bookmarkStart w:id="0" w:name="_Toc128308414"/>
      <w:bookmarkStart w:id="1" w:name="_Toc21544249"/>
      <w:r>
        <w:lastRenderedPageBreak/>
        <w:t>Preface</w:t>
      </w:r>
      <w:bookmarkEnd w:id="0"/>
      <w:bookmarkEnd w:id="1"/>
    </w:p>
    <w:p w14:paraId="7FC94A53" w14:textId="77777777" w:rsidR="00540689" w:rsidRDefault="009B5F54" w:rsidP="00540689">
      <w:pPr>
        <w:rPr>
          <w:rFonts w:eastAsia="Times New Roman"/>
          <w:szCs w:val="24"/>
        </w:rPr>
      </w:pPr>
      <w:r>
        <w:t>The document herein was produced by the International Medical Device Regulators Forum (IMDRF), a voluntary group of medical device regulators from around the world.</w:t>
      </w:r>
      <w:r w:rsidR="00540689">
        <w:t xml:space="preserve"> </w:t>
      </w:r>
      <w:r w:rsidR="00540689">
        <w:rPr>
          <w:rFonts w:eastAsia="Times New Roman"/>
          <w:szCs w:val="24"/>
        </w:rPr>
        <w:t>The document has been subject to consultation throughout its development.</w:t>
      </w:r>
    </w:p>
    <w:p w14:paraId="472C2EF9" w14:textId="77777777" w:rsidR="00555EB9" w:rsidRDefault="00555EB9">
      <w:pPr>
        <w:ind w:firstLine="567"/>
      </w:pPr>
    </w:p>
    <w:p w14:paraId="0512F07C" w14:textId="77777777" w:rsidR="00555EB9" w:rsidRDefault="009B5F54">
      <w:pPr>
        <w:sectPr w:rsidR="00555EB9" w:rsidSect="00540689">
          <w:headerReference w:type="default" r:id="rId11"/>
          <w:footerReference w:type="default" r:id="rId12"/>
          <w:pgSz w:w="12240" w:h="15840"/>
          <w:pgMar w:top="1138" w:right="1440" w:bottom="1440" w:left="1440" w:header="720" w:footer="720" w:gutter="0"/>
          <w:cols w:space="720"/>
          <w:docGrid w:linePitch="326"/>
        </w:sectPr>
      </w:pPr>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42A07959" w14:textId="78E754A6" w:rsidR="00555EB9" w:rsidRDefault="00171883">
      <w:pPr>
        <w:pStyle w:val="berschrift1"/>
      </w:pPr>
      <w:bookmarkStart w:id="2" w:name="_Toc128308415"/>
      <w:bookmarkStart w:id="3" w:name="_Toc21544250"/>
      <w:r>
        <w:lastRenderedPageBreak/>
        <w:t>1</w:t>
      </w:r>
      <w:r w:rsidR="002C2F97">
        <w:t>.0</w:t>
      </w:r>
      <w:r w:rsidR="009B5F54">
        <w:t xml:space="preserve"> Introduction</w:t>
      </w:r>
      <w:bookmarkEnd w:id="2"/>
      <w:bookmarkEnd w:id="3"/>
    </w:p>
    <w:p w14:paraId="1839E012" w14:textId="682F882D" w:rsidR="009B41C7" w:rsidRDefault="009B41C7" w:rsidP="009B41C7">
      <w:pPr>
        <w:pStyle w:val="Textkrper"/>
        <w:spacing w:before="69"/>
        <w:ind w:right="230"/>
        <w:rPr>
          <w:lang w:eastAsia="zh-CN"/>
        </w:rPr>
      </w:pPr>
      <w:r>
        <w:rPr>
          <w:rFonts w:hint="eastAsia"/>
          <w:spacing w:val="-1"/>
          <w:lang w:eastAsia="zh-CN"/>
        </w:rPr>
        <w:t xml:space="preserve">This document supersedes an earlier version produced under the Global Harmonization Task Force (GHTF) with the same title </w:t>
      </w:r>
      <w:r>
        <w:rPr>
          <w:spacing w:val="-1"/>
          <w:lang w:eastAsia="zh-CN"/>
        </w:rPr>
        <w:t xml:space="preserve">in February, 2010 </w:t>
      </w:r>
      <w:r>
        <w:rPr>
          <w:rFonts w:hint="eastAsia"/>
          <w:spacing w:val="-1"/>
          <w:lang w:eastAsia="zh-CN"/>
        </w:rPr>
        <w:t>(GHTF/SG5/N</w:t>
      </w:r>
      <w:r>
        <w:rPr>
          <w:spacing w:val="-1"/>
          <w:lang w:eastAsia="zh-CN"/>
        </w:rPr>
        <w:t>3</w:t>
      </w:r>
      <w:r>
        <w:rPr>
          <w:rFonts w:hint="eastAsia"/>
          <w:spacing w:val="-1"/>
          <w:lang w:eastAsia="zh-CN"/>
        </w:rPr>
        <w:t>:20</w:t>
      </w:r>
      <w:r>
        <w:rPr>
          <w:spacing w:val="-1"/>
          <w:lang w:eastAsia="zh-CN"/>
        </w:rPr>
        <w:t>10</w:t>
      </w:r>
      <w:r>
        <w:rPr>
          <w:rFonts w:hint="eastAsia"/>
          <w:spacing w:val="-1"/>
          <w:lang w:eastAsia="zh-CN"/>
        </w:rPr>
        <w:t>).</w:t>
      </w:r>
    </w:p>
    <w:p w14:paraId="4EF45971" w14:textId="77777777" w:rsidR="009B41C7" w:rsidRDefault="009B41C7">
      <w:pPr>
        <w:rPr>
          <w:b/>
          <w:bCs/>
        </w:rPr>
      </w:pPr>
    </w:p>
    <w:p w14:paraId="215C1CEE" w14:textId="0637801D" w:rsidR="00555EB9" w:rsidRDefault="009B5F54">
      <w:pPr>
        <w:rPr>
          <w:b/>
          <w:bCs/>
        </w:rPr>
      </w:pPr>
      <w:r>
        <w:rPr>
          <w:b/>
          <w:bCs/>
        </w:rPr>
        <w:t xml:space="preserve">What is </w:t>
      </w:r>
      <w:r w:rsidR="004D4344">
        <w:rPr>
          <w:b/>
          <w:bCs/>
        </w:rPr>
        <w:t xml:space="preserve">a </w:t>
      </w:r>
      <w:r>
        <w:rPr>
          <w:b/>
          <w:bCs/>
        </w:rPr>
        <w:t>clinical investigation?</w:t>
      </w:r>
    </w:p>
    <w:p w14:paraId="65CEA8E1" w14:textId="77777777" w:rsidR="00555EB9" w:rsidRDefault="00555EB9"/>
    <w:p w14:paraId="4431B873" w14:textId="498759B0" w:rsidR="00555EB9" w:rsidRDefault="009B5F54">
      <w:pPr>
        <w:tabs>
          <w:tab w:val="left" w:pos="540"/>
        </w:tabs>
        <w:rPr>
          <w:strike/>
          <w:lang w:eastAsia="zh-CN"/>
        </w:rPr>
      </w:pPr>
      <w:r>
        <w:t xml:space="preserve">A clinical investigation is defined as </w:t>
      </w:r>
      <w:r>
        <w:rPr>
          <w:rFonts w:hint="eastAsia"/>
          <w:spacing w:val="-1"/>
        </w:rPr>
        <w:t>a</w:t>
      </w:r>
      <w:r>
        <w:rPr>
          <w:spacing w:val="-1"/>
        </w:rPr>
        <w:t xml:space="preserve">ny systematic investigation or study in or on one or more human subjects, undertaken to assess the safety, clinical performance </w:t>
      </w:r>
      <w:r>
        <w:rPr>
          <w:rFonts w:hint="eastAsia"/>
          <w:spacing w:val="-1"/>
          <w:lang w:eastAsia="zh-CN"/>
        </w:rPr>
        <w:t>and/</w:t>
      </w:r>
      <w:r>
        <w:rPr>
          <w:spacing w:val="-1"/>
        </w:rPr>
        <w:t xml:space="preserve">or effectiveness of a medical device. </w:t>
      </w:r>
    </w:p>
    <w:p w14:paraId="427DDF28" w14:textId="77777777" w:rsidR="00555EB9" w:rsidRDefault="00555EB9">
      <w:pPr>
        <w:tabs>
          <w:tab w:val="left" w:pos="540"/>
        </w:tabs>
        <w:rPr>
          <w:lang w:eastAsia="zh-CN"/>
        </w:rPr>
      </w:pPr>
    </w:p>
    <w:p w14:paraId="71E6D107" w14:textId="77777777" w:rsidR="00555EB9" w:rsidRDefault="009B5F54">
      <w:pPr>
        <w:tabs>
          <w:tab w:val="left" w:pos="540"/>
        </w:tabs>
      </w:pPr>
      <w:r>
        <w:rPr>
          <w:lang w:val="en-GB"/>
        </w:rPr>
        <w:t>The undertaking of a clinical investigation is a scientific process that represents one method of generating clinical data.</w:t>
      </w:r>
    </w:p>
    <w:p w14:paraId="19152C29" w14:textId="77777777" w:rsidR="00F31B55" w:rsidRDefault="00F31B55">
      <w:pPr>
        <w:rPr>
          <w:lang w:val="en-GB" w:eastAsia="zh-CN"/>
        </w:rPr>
      </w:pPr>
    </w:p>
    <w:p w14:paraId="673B8079" w14:textId="77777777" w:rsidR="00555EB9" w:rsidRDefault="009B5F54">
      <w:pPr>
        <w:rPr>
          <w:b/>
          <w:bCs/>
        </w:rPr>
      </w:pPr>
      <w:r>
        <w:rPr>
          <w:b/>
          <w:bCs/>
        </w:rPr>
        <w:t>What is the objective of a clinical investigation?</w:t>
      </w:r>
    </w:p>
    <w:p w14:paraId="70BC8755" w14:textId="77777777" w:rsidR="00555EB9" w:rsidRDefault="00555EB9"/>
    <w:p w14:paraId="0BA0BEDE" w14:textId="77777777" w:rsidR="00555EB9" w:rsidRDefault="009B5F54">
      <w:pPr>
        <w:rPr>
          <w:szCs w:val="24"/>
          <w:lang w:eastAsia="zh-CN"/>
        </w:rPr>
      </w:pPr>
      <w:r>
        <w:t>The objective of a clinical investigation is to assess the</w:t>
      </w:r>
      <w:r>
        <w:rPr>
          <w:color w:val="FF0000"/>
        </w:rPr>
        <w:t xml:space="preserve"> </w:t>
      </w:r>
      <w:r>
        <w:t>safety, clinical performance and/or effectiveness of a medical device</w:t>
      </w:r>
      <w:r>
        <w:rPr>
          <w:rFonts w:hint="eastAsia"/>
          <w:lang w:eastAsia="zh-CN"/>
        </w:rPr>
        <w:t xml:space="preserve"> </w:t>
      </w:r>
      <w:r>
        <w:rPr>
          <w:szCs w:val="24"/>
          <w:lang w:eastAsia="zh-CN"/>
        </w:rPr>
        <w:t>for a particular indication or intended use</w:t>
      </w:r>
      <w:r>
        <w:rPr>
          <w:szCs w:val="24"/>
        </w:rPr>
        <w:t>.</w:t>
      </w:r>
    </w:p>
    <w:p w14:paraId="5F9F45CF" w14:textId="77777777" w:rsidR="00555EB9" w:rsidRDefault="00555EB9"/>
    <w:p w14:paraId="7C460311" w14:textId="77777777" w:rsidR="00555EB9" w:rsidRDefault="009B5F54">
      <w:pPr>
        <w:rPr>
          <w:lang w:val="en-GB"/>
        </w:rPr>
      </w:pPr>
      <w:r>
        <w:rPr>
          <w:b/>
          <w:lang w:val="en-GB"/>
        </w:rPr>
        <w:t>How is a clinical investigation conducted?</w:t>
      </w:r>
    </w:p>
    <w:p w14:paraId="24F0A075" w14:textId="77777777" w:rsidR="00555EB9" w:rsidRDefault="00555EB9">
      <w:pPr>
        <w:rPr>
          <w:szCs w:val="24"/>
          <w:lang w:val="en-GB"/>
        </w:rPr>
      </w:pPr>
    </w:p>
    <w:p w14:paraId="4CA4E893" w14:textId="47D29CA8" w:rsidR="00555EB9" w:rsidRPr="00DE68FC" w:rsidRDefault="009B5F54">
      <w:pPr>
        <w:rPr>
          <w:strike/>
          <w:lang w:val="en-GB"/>
        </w:rPr>
      </w:pPr>
      <w:r>
        <w:rPr>
          <w:lang w:val="en-GB"/>
        </w:rPr>
        <w:t>ISO 14155: 2011</w:t>
      </w:r>
      <w:r>
        <w:rPr>
          <w:rFonts w:hint="eastAsia"/>
          <w:lang w:val="en-GB" w:eastAsia="zh-CN"/>
        </w:rPr>
        <w:t xml:space="preserve"> </w:t>
      </w:r>
      <w:r>
        <w:rPr>
          <w:i/>
          <w:lang w:val="en-GB"/>
        </w:rPr>
        <w:t xml:space="preserve">Clinical Investigation of Medical Devices for Human Subjects — Good clinical </w:t>
      </w:r>
      <w:r w:rsidR="008F2882">
        <w:rPr>
          <w:i/>
          <w:lang w:val="en-GB"/>
        </w:rPr>
        <w:t>practice</w:t>
      </w:r>
      <w:r w:rsidR="008F2882">
        <w:rPr>
          <w:lang w:val="en-GB"/>
        </w:rPr>
        <w:t xml:space="preserve"> details</w:t>
      </w:r>
      <w:r>
        <w:rPr>
          <w:lang w:val="en-GB"/>
        </w:rPr>
        <w:t xml:space="preserve"> the requirements for the conduct of clinical investigations.</w:t>
      </w:r>
      <w:r>
        <w:rPr>
          <w:rFonts w:hint="eastAsia"/>
          <w:lang w:val="en-GB" w:eastAsia="zh-CN"/>
        </w:rPr>
        <w:t xml:space="preserve"> </w:t>
      </w:r>
      <w:r>
        <w:rPr>
          <w:lang w:val="en-GB"/>
        </w:rPr>
        <w:t>Clinical investigations must take into account scientific principles underlying the collection of clinical data along with accepted ethical standards surrounding the use of human subjects.</w:t>
      </w:r>
      <w:r>
        <w:t xml:space="preserve"> </w:t>
      </w:r>
    </w:p>
    <w:p w14:paraId="6D7B2053" w14:textId="6D11025F" w:rsidR="00555EB9" w:rsidRDefault="00171883">
      <w:pPr>
        <w:pStyle w:val="berschrift1"/>
      </w:pPr>
      <w:bookmarkStart w:id="4" w:name="_Toc128308416"/>
      <w:bookmarkStart w:id="5" w:name="_Toc21544251"/>
      <w:r>
        <w:t>2</w:t>
      </w:r>
      <w:r w:rsidR="002C2F97">
        <w:t>.0</w:t>
      </w:r>
      <w:r w:rsidR="009B5F54">
        <w:t xml:space="preserve"> Scope</w:t>
      </w:r>
      <w:bookmarkEnd w:id="4"/>
      <w:bookmarkEnd w:id="5"/>
    </w:p>
    <w:p w14:paraId="2793F096" w14:textId="77777777" w:rsidR="00555EB9" w:rsidRDefault="009B5F54">
      <w:r>
        <w:t>The primary purpose of this document is to provide guidance in relation to:</w:t>
      </w:r>
    </w:p>
    <w:p w14:paraId="71817BA3" w14:textId="77777777" w:rsidR="00555EB9" w:rsidRDefault="00555EB9"/>
    <w:p w14:paraId="0F71118E" w14:textId="77777777" w:rsidR="00555EB9" w:rsidRDefault="009B5F54">
      <w:pPr>
        <w:numPr>
          <w:ilvl w:val="0"/>
          <w:numId w:val="1"/>
        </w:numPr>
      </w:pPr>
      <w:r>
        <w:t xml:space="preserve">when a clinical investigation should be undertaken for a medical device to demonstrate compliance with the relevant Essential Principles (see </w:t>
      </w:r>
      <w:r>
        <w:rPr>
          <w:rFonts w:hint="eastAsia"/>
          <w:iCs/>
          <w:lang w:eastAsia="zh-CN"/>
        </w:rPr>
        <w:t>IMDRF</w:t>
      </w:r>
      <w:r>
        <w:rPr>
          <w:iCs/>
          <w:lang w:eastAsia="zh-CN"/>
        </w:rPr>
        <w:t>/</w:t>
      </w:r>
      <w:r>
        <w:rPr>
          <w:rFonts w:hint="eastAsia"/>
          <w:iCs/>
          <w:lang w:eastAsia="zh-CN"/>
        </w:rPr>
        <w:t>GRRP WG/N47 FINAL:2018</w:t>
      </w:r>
      <w:r>
        <w:t xml:space="preserve"> “</w:t>
      </w:r>
      <w:r>
        <w:rPr>
          <w:i/>
          <w:iCs/>
        </w:rPr>
        <w:t>Essential Principles of Safety and Performance of Medical Devices</w:t>
      </w:r>
      <w:r>
        <w:rPr>
          <w:rFonts w:hint="eastAsia"/>
          <w:i/>
          <w:iCs/>
          <w:lang w:eastAsia="zh-CN"/>
        </w:rPr>
        <w:t xml:space="preserve"> and IVD Medical Device</w:t>
      </w:r>
      <w:r>
        <w:rPr>
          <w:i/>
          <w:iCs/>
          <w:lang w:val="en-GB"/>
        </w:rPr>
        <w:t>s</w:t>
      </w:r>
      <w:r>
        <w:t>”); and</w:t>
      </w:r>
    </w:p>
    <w:p w14:paraId="7FBB3971" w14:textId="77777777" w:rsidR="00555EB9" w:rsidRDefault="009B5F54">
      <w:pPr>
        <w:numPr>
          <w:ilvl w:val="0"/>
          <w:numId w:val="1"/>
        </w:numPr>
      </w:pPr>
      <w:r>
        <w:t>the general principles of clinical investigation involving medical devices.</w:t>
      </w:r>
    </w:p>
    <w:p w14:paraId="4C97A17B" w14:textId="77777777" w:rsidR="00555EB9" w:rsidRDefault="00555EB9"/>
    <w:p w14:paraId="701AC838" w14:textId="77777777" w:rsidR="00555EB9" w:rsidRDefault="009B5F54">
      <w:r>
        <w:t xml:space="preserve">Given the wide diversity of medical devices and their associated risks, this document is not intended to provide comprehensive guidance for clinical investigations of specific medical devices.   </w:t>
      </w:r>
    </w:p>
    <w:p w14:paraId="4E7FF2B2" w14:textId="77777777" w:rsidR="00555EB9" w:rsidRDefault="00555EB9"/>
    <w:p w14:paraId="3A939829" w14:textId="5F270539" w:rsidR="00555EB9" w:rsidRDefault="009B5F54">
      <w:r>
        <w:t>The guidance contained within this document is intended to apply to medical devices</w:t>
      </w:r>
      <w:r w:rsidR="00EB3733">
        <w:t xml:space="preserve"> other than IVDDs</w:t>
      </w:r>
      <w:r>
        <w:t xml:space="preserve">. Additionally, this document was drafted primarily to address the use of Clinical Investigations to support a marketing authorization application. Some aspects of this document may apply to studies conducted following commercial release of a </w:t>
      </w:r>
      <w:r>
        <w:rPr>
          <w:rFonts w:hint="eastAsia"/>
          <w:lang w:eastAsia="zh-CN"/>
        </w:rPr>
        <w:t xml:space="preserve">medical </w:t>
      </w:r>
      <w:r>
        <w:t xml:space="preserve">device. </w:t>
      </w:r>
      <w:r w:rsidR="004307D7">
        <w:t xml:space="preserve">The GHTF /SG5/N4:2010 – </w:t>
      </w:r>
      <w:r w:rsidR="004307D7" w:rsidRPr="00E3415A">
        <w:rPr>
          <w:i/>
        </w:rPr>
        <w:t xml:space="preserve">Post-Market Clinical Follow-Up Studies </w:t>
      </w:r>
      <w:r>
        <w:t>document specifically address</w:t>
      </w:r>
      <w:r w:rsidR="004307D7">
        <w:t>es</w:t>
      </w:r>
      <w:r>
        <w:t xml:space="preserve"> post-market clinical follow-up studies.</w:t>
      </w:r>
    </w:p>
    <w:p w14:paraId="4B41432C" w14:textId="088C8EA3" w:rsidR="00555EB9" w:rsidRPr="00D90B42" w:rsidRDefault="00171883" w:rsidP="00D90B42">
      <w:pPr>
        <w:pStyle w:val="berschrift1"/>
      </w:pPr>
      <w:bookmarkStart w:id="6" w:name="_Toc21544252"/>
      <w:r>
        <w:lastRenderedPageBreak/>
        <w:t>3</w:t>
      </w:r>
      <w:r w:rsidR="002C2F97">
        <w:t xml:space="preserve">.0 </w:t>
      </w:r>
      <w:r>
        <w:t>References</w:t>
      </w:r>
      <w:bookmarkEnd w:id="6"/>
    </w:p>
    <w:p w14:paraId="21BAC681" w14:textId="77777777" w:rsidR="00555EB9" w:rsidRDefault="009B5F54">
      <w:pPr>
        <w:tabs>
          <w:tab w:val="left" w:pos="1985"/>
        </w:tabs>
        <w:ind w:left="1985" w:hanging="1985"/>
        <w:rPr>
          <w:b/>
          <w:bCs/>
        </w:rPr>
      </w:pPr>
      <w:r>
        <w:rPr>
          <w:rFonts w:hint="eastAsia"/>
          <w:b/>
          <w:bCs/>
          <w:lang w:eastAsia="zh-CN"/>
        </w:rPr>
        <w:t>IMDRF/</w:t>
      </w:r>
      <w:r>
        <w:rPr>
          <w:b/>
          <w:bCs/>
        </w:rPr>
        <w:t>GHTF final documents</w:t>
      </w:r>
    </w:p>
    <w:p w14:paraId="155DFC56" w14:textId="77777777" w:rsidR="00555EB9" w:rsidRDefault="00555EB9">
      <w:pPr>
        <w:tabs>
          <w:tab w:val="left" w:pos="1701"/>
          <w:tab w:val="left" w:pos="1985"/>
        </w:tabs>
        <w:ind w:left="1985" w:hanging="1985"/>
      </w:pPr>
    </w:p>
    <w:p w14:paraId="51A62EEE" w14:textId="77777777" w:rsidR="00555EB9" w:rsidRPr="00CA23C7" w:rsidRDefault="009B5F54">
      <w:pPr>
        <w:tabs>
          <w:tab w:val="left" w:pos="1701"/>
          <w:tab w:val="left" w:pos="1985"/>
        </w:tabs>
        <w:rPr>
          <w:i/>
          <w:szCs w:val="24"/>
        </w:rPr>
      </w:pPr>
      <w:r w:rsidRPr="00CA23C7">
        <w:t xml:space="preserve">GHTF SG1/N011:2008 </w:t>
      </w:r>
      <w:hyperlink r:id="rId13" w:history="1">
        <w:r w:rsidRPr="00CA23C7">
          <w:rPr>
            <w:rStyle w:val="Hyperlink"/>
            <w:i/>
            <w:sz w:val="24"/>
            <w:szCs w:val="24"/>
            <w:u w:val="none"/>
          </w:rPr>
          <w:t>Summary Technical Documentation for Demonstrating Conformity to the Essential Principles of Safety and Performance of Medical Devices (STED)</w:t>
        </w:r>
      </w:hyperlink>
    </w:p>
    <w:p w14:paraId="6F63496F" w14:textId="77777777" w:rsidR="00555EB9" w:rsidRPr="00CA23C7" w:rsidRDefault="00555EB9">
      <w:pPr>
        <w:tabs>
          <w:tab w:val="left" w:pos="1701"/>
          <w:tab w:val="left" w:pos="1985"/>
        </w:tabs>
        <w:ind w:left="1985" w:hanging="1985"/>
        <w:rPr>
          <w:szCs w:val="24"/>
        </w:rPr>
      </w:pPr>
    </w:p>
    <w:p w14:paraId="4F051385" w14:textId="77777777" w:rsidR="00555EB9" w:rsidRPr="00CA23C7" w:rsidRDefault="009B5F54">
      <w:pPr>
        <w:tabs>
          <w:tab w:val="left" w:pos="1701"/>
          <w:tab w:val="left" w:pos="1985"/>
        </w:tabs>
        <w:rPr>
          <w:i/>
          <w:szCs w:val="24"/>
        </w:rPr>
      </w:pPr>
      <w:r w:rsidRPr="00CA23C7">
        <w:t xml:space="preserve">GHTF </w:t>
      </w:r>
      <w:r w:rsidRPr="00CA23C7">
        <w:rPr>
          <w:szCs w:val="24"/>
        </w:rPr>
        <w:t xml:space="preserve">SG1/N029:2005 </w:t>
      </w:r>
      <w:hyperlink r:id="rId14" w:history="1">
        <w:r w:rsidRPr="00CA23C7">
          <w:rPr>
            <w:rStyle w:val="Hyperlink"/>
            <w:i/>
            <w:sz w:val="24"/>
            <w:szCs w:val="24"/>
            <w:u w:val="none"/>
          </w:rPr>
          <w:t>Information Document Concerning the Definition of the Term “Medical Device”</w:t>
        </w:r>
      </w:hyperlink>
    </w:p>
    <w:p w14:paraId="10CABA3F" w14:textId="77777777" w:rsidR="00555EB9" w:rsidRPr="00CA23C7" w:rsidRDefault="00555EB9">
      <w:pPr>
        <w:tabs>
          <w:tab w:val="left" w:pos="1985"/>
        </w:tabs>
        <w:ind w:left="1985" w:hanging="1985"/>
        <w:rPr>
          <w:szCs w:val="24"/>
        </w:rPr>
      </w:pPr>
    </w:p>
    <w:p w14:paraId="4C57D010" w14:textId="25C79E34" w:rsidR="00555EB9" w:rsidRPr="00CA23C7" w:rsidRDefault="009B5F54">
      <w:pPr>
        <w:tabs>
          <w:tab w:val="left" w:pos="1701"/>
          <w:tab w:val="left" w:pos="1985"/>
        </w:tabs>
        <w:rPr>
          <w:i/>
          <w:iCs/>
          <w:strike/>
          <w:szCs w:val="24"/>
          <w:lang w:eastAsia="zh-CN"/>
        </w:rPr>
      </w:pPr>
      <w:r w:rsidRPr="00CA23C7">
        <w:t xml:space="preserve">IMDRF </w:t>
      </w:r>
      <w:r w:rsidRPr="00CA23C7">
        <w:rPr>
          <w:szCs w:val="24"/>
        </w:rPr>
        <w:t>GRRP WG/N47 FINAL</w:t>
      </w:r>
      <w:r w:rsidR="00BE7A46" w:rsidRPr="00BE7A46">
        <w:rPr>
          <w:color w:val="000000" w:themeColor="text1"/>
          <w:szCs w:val="24"/>
        </w:rPr>
        <w:t>:</w:t>
      </w:r>
      <w:r w:rsidR="00537BA3">
        <w:rPr>
          <w:rFonts w:hint="eastAsia"/>
          <w:color w:val="000000" w:themeColor="text1"/>
          <w:szCs w:val="24"/>
          <w:lang w:eastAsia="zh-CN"/>
        </w:rPr>
        <w:t xml:space="preserve"> </w:t>
      </w:r>
      <w:r w:rsidRPr="00CA23C7">
        <w:rPr>
          <w:szCs w:val="24"/>
        </w:rPr>
        <w:t>2018</w:t>
      </w:r>
      <w:r w:rsidRPr="00CA23C7">
        <w:rPr>
          <w:szCs w:val="24"/>
          <w:lang w:eastAsia="zh-CN"/>
        </w:rPr>
        <w:t xml:space="preserve"> </w:t>
      </w:r>
      <w:hyperlink r:id="rId15" w:history="1">
        <w:r w:rsidRPr="00CA23C7">
          <w:rPr>
            <w:rStyle w:val="Hyperlink"/>
            <w:i/>
            <w:iCs/>
            <w:sz w:val="24"/>
            <w:szCs w:val="24"/>
            <w:u w:val="none"/>
          </w:rPr>
          <w:t>Essential Principles of Safety and Performance of Medical Devices</w:t>
        </w:r>
      </w:hyperlink>
      <w:r w:rsidRPr="00CA23C7">
        <w:rPr>
          <w:i/>
          <w:iCs/>
          <w:szCs w:val="24"/>
          <w:lang w:eastAsia="zh-CN"/>
        </w:rPr>
        <w:t xml:space="preserve"> and IVD Medical Devices</w:t>
      </w:r>
    </w:p>
    <w:p w14:paraId="5FD5D319" w14:textId="77777777" w:rsidR="00555EB9" w:rsidRPr="00CA23C7" w:rsidRDefault="00555EB9">
      <w:pPr>
        <w:tabs>
          <w:tab w:val="left" w:pos="1701"/>
          <w:tab w:val="left" w:pos="1985"/>
        </w:tabs>
        <w:ind w:left="1985" w:hanging="1985"/>
        <w:rPr>
          <w:i/>
          <w:iCs/>
          <w:szCs w:val="24"/>
          <w:lang w:val="en-GB"/>
        </w:rPr>
      </w:pPr>
    </w:p>
    <w:p w14:paraId="29104564" w14:textId="77777777" w:rsidR="00555EB9" w:rsidRDefault="009B5F54">
      <w:pPr>
        <w:tabs>
          <w:tab w:val="left" w:pos="1985"/>
        </w:tabs>
        <w:ind w:left="1985" w:hanging="1985"/>
        <w:rPr>
          <w:rStyle w:val="Hyperlink"/>
          <w:i/>
          <w:iCs/>
          <w:sz w:val="24"/>
          <w:szCs w:val="24"/>
          <w:u w:val="none"/>
        </w:rPr>
      </w:pPr>
      <w:r w:rsidRPr="00CA23C7">
        <w:t>GHTF SG1/ N78:2012</w:t>
      </w:r>
      <w:hyperlink r:id="rId16" w:history="1">
        <w:r w:rsidRPr="00CA23C7">
          <w:rPr>
            <w:rStyle w:val="Hyperlink"/>
            <w:i/>
            <w:iCs/>
            <w:sz w:val="24"/>
            <w:szCs w:val="24"/>
            <w:u w:val="none"/>
          </w:rPr>
          <w:t xml:space="preserve"> Principles of Conformity Assessment for Medical Devices </w:t>
        </w:r>
      </w:hyperlink>
    </w:p>
    <w:p w14:paraId="2F61960A" w14:textId="77777777" w:rsidR="00CA23C7" w:rsidRDefault="00CA23C7">
      <w:pPr>
        <w:tabs>
          <w:tab w:val="left" w:pos="1985"/>
        </w:tabs>
        <w:ind w:left="1985" w:hanging="1985"/>
        <w:rPr>
          <w:i/>
          <w:sz w:val="28"/>
          <w:szCs w:val="24"/>
        </w:rPr>
      </w:pPr>
    </w:p>
    <w:p w14:paraId="6471C861" w14:textId="399A64B9" w:rsidR="00CA23C7" w:rsidRDefault="00CA23C7" w:rsidP="00CA23C7">
      <w:pPr>
        <w:tabs>
          <w:tab w:val="left" w:pos="1701"/>
          <w:tab w:val="left" w:pos="1985"/>
        </w:tabs>
        <w:rPr>
          <w:i/>
        </w:rPr>
      </w:pPr>
      <w:r w:rsidRPr="00CA23C7">
        <w:t>IMDRF</w:t>
      </w:r>
      <w:r>
        <w:rPr>
          <w:rFonts w:hint="eastAsia"/>
        </w:rPr>
        <w:t>/GRRP WG/N52</w:t>
      </w:r>
      <w:r>
        <w:t xml:space="preserve"> FINAL</w:t>
      </w:r>
      <w:r w:rsidR="00537BA3" w:rsidRPr="00CA23C7">
        <w:t>:</w:t>
      </w:r>
      <w:r w:rsidR="00537BA3">
        <w:rPr>
          <w:rFonts w:hint="eastAsia"/>
          <w:lang w:eastAsia="zh-CN"/>
        </w:rPr>
        <w:t xml:space="preserve"> </w:t>
      </w:r>
      <w:r w:rsidRPr="00F87A0C">
        <w:t>2019</w:t>
      </w:r>
      <w:r>
        <w:t xml:space="preserve"> </w:t>
      </w:r>
      <w:r w:rsidRPr="00F87A0C">
        <w:rPr>
          <w:i/>
        </w:rPr>
        <w:t>Principles of Labeling for Medical Devices and IVD Medical Devices document when release</w:t>
      </w:r>
      <w:r>
        <w:rPr>
          <w:i/>
        </w:rPr>
        <w:t>d</w:t>
      </w:r>
    </w:p>
    <w:p w14:paraId="05B5BA2A" w14:textId="77777777" w:rsidR="00555EB9" w:rsidRPr="00CA23C7" w:rsidRDefault="00555EB9">
      <w:pPr>
        <w:tabs>
          <w:tab w:val="left" w:pos="1701"/>
          <w:tab w:val="left" w:pos="1985"/>
        </w:tabs>
        <w:ind w:left="1985" w:hanging="1985"/>
        <w:rPr>
          <w:szCs w:val="24"/>
        </w:rPr>
      </w:pPr>
    </w:p>
    <w:p w14:paraId="27B39C0D" w14:textId="11C509DA" w:rsidR="00555EB9" w:rsidRPr="00CA23C7" w:rsidRDefault="009B5F54">
      <w:pPr>
        <w:tabs>
          <w:tab w:val="left" w:pos="1701"/>
          <w:tab w:val="left" w:pos="1985"/>
        </w:tabs>
        <w:ind w:left="1985" w:hanging="1985"/>
        <w:rPr>
          <w:i/>
          <w:iCs/>
          <w:szCs w:val="24"/>
        </w:rPr>
      </w:pPr>
      <w:r w:rsidRPr="00CA23C7">
        <w:t xml:space="preserve">IMDRF </w:t>
      </w:r>
      <w:r w:rsidRPr="00CA23C7">
        <w:rPr>
          <w:szCs w:val="24"/>
          <w:lang w:eastAsia="zh-CN"/>
        </w:rPr>
        <w:t>MDCE WG/N55</w:t>
      </w:r>
      <w:r w:rsidR="005D3B0E">
        <w:rPr>
          <w:szCs w:val="24"/>
          <w:lang w:eastAsia="zh-CN"/>
        </w:rPr>
        <w:t>FINAL:2019</w:t>
      </w:r>
      <w:r w:rsidRPr="00CA23C7">
        <w:rPr>
          <w:szCs w:val="24"/>
        </w:rPr>
        <w:t xml:space="preserve"> </w:t>
      </w:r>
      <w:hyperlink r:id="rId17" w:history="1">
        <w:r w:rsidRPr="00CA23C7">
          <w:rPr>
            <w:rStyle w:val="Hyperlink"/>
            <w:i/>
            <w:iCs/>
            <w:sz w:val="24"/>
            <w:szCs w:val="24"/>
            <w:u w:val="none"/>
          </w:rPr>
          <w:t>Clinical Evidence – Key definitions and Concepts</w:t>
        </w:r>
      </w:hyperlink>
    </w:p>
    <w:p w14:paraId="30765A71" w14:textId="77777777" w:rsidR="00555EB9" w:rsidRPr="00CA23C7" w:rsidRDefault="00555EB9">
      <w:pPr>
        <w:tabs>
          <w:tab w:val="left" w:pos="1701"/>
          <w:tab w:val="left" w:pos="1985"/>
        </w:tabs>
        <w:ind w:left="1985" w:hanging="1985"/>
        <w:rPr>
          <w:iCs/>
          <w:strike/>
          <w:szCs w:val="24"/>
        </w:rPr>
      </w:pPr>
    </w:p>
    <w:p w14:paraId="477871F9" w14:textId="164B024F" w:rsidR="00555EB9" w:rsidRPr="00CA23C7" w:rsidRDefault="009B5F54">
      <w:pPr>
        <w:tabs>
          <w:tab w:val="left" w:pos="1701"/>
          <w:tab w:val="left" w:pos="1985"/>
        </w:tabs>
        <w:ind w:left="1985" w:hanging="1985"/>
        <w:rPr>
          <w:iCs/>
          <w:szCs w:val="24"/>
        </w:rPr>
      </w:pPr>
      <w:r w:rsidRPr="00CA23C7">
        <w:t xml:space="preserve">IMDRF </w:t>
      </w:r>
      <w:r w:rsidRPr="00CA23C7">
        <w:rPr>
          <w:szCs w:val="24"/>
          <w:lang w:eastAsia="zh-CN"/>
        </w:rPr>
        <w:t>MDCE WG/N56</w:t>
      </w:r>
      <w:r w:rsidR="005D3B0E">
        <w:rPr>
          <w:szCs w:val="24"/>
          <w:lang w:eastAsia="zh-CN"/>
        </w:rPr>
        <w:t>FINAL:2019</w:t>
      </w:r>
      <w:r w:rsidRPr="00CA23C7">
        <w:rPr>
          <w:iCs/>
          <w:szCs w:val="24"/>
        </w:rPr>
        <w:t xml:space="preserve"> </w:t>
      </w:r>
      <w:hyperlink r:id="rId18" w:history="1">
        <w:r w:rsidRPr="00CA23C7">
          <w:rPr>
            <w:rStyle w:val="Hyperlink"/>
            <w:i/>
            <w:iCs/>
            <w:sz w:val="24"/>
            <w:szCs w:val="24"/>
            <w:u w:val="none"/>
          </w:rPr>
          <w:t>Clinical Evaluation</w:t>
        </w:r>
      </w:hyperlink>
    </w:p>
    <w:p w14:paraId="478824E7" w14:textId="77777777" w:rsidR="00555EB9" w:rsidRDefault="00555EB9" w:rsidP="00E3415A">
      <w:pPr>
        <w:tabs>
          <w:tab w:val="left" w:pos="1985"/>
        </w:tabs>
      </w:pPr>
    </w:p>
    <w:p w14:paraId="4CFC7A13" w14:textId="77777777" w:rsidR="00555EB9" w:rsidRDefault="009B5F54">
      <w:pPr>
        <w:tabs>
          <w:tab w:val="left" w:pos="1985"/>
        </w:tabs>
        <w:ind w:left="1985" w:hanging="1985"/>
        <w:rPr>
          <w:rFonts w:ascii="Times New (W1)" w:hAnsi="Times New (W1)" w:cs="Times New (W1)"/>
          <w:b/>
          <w:bCs/>
        </w:rPr>
      </w:pPr>
      <w:r>
        <w:rPr>
          <w:rFonts w:ascii="Times New (W1)" w:hAnsi="Times New (W1)" w:cs="Times New (W1)"/>
          <w:b/>
          <w:bCs/>
        </w:rPr>
        <w:t>International standards</w:t>
      </w:r>
    </w:p>
    <w:p w14:paraId="0CE401AC" w14:textId="77777777" w:rsidR="00555EB9" w:rsidRDefault="00555EB9">
      <w:pPr>
        <w:tabs>
          <w:tab w:val="left" w:pos="1985"/>
        </w:tabs>
        <w:rPr>
          <w:lang w:eastAsia="zh-CN"/>
        </w:rPr>
      </w:pPr>
    </w:p>
    <w:p w14:paraId="2220E400" w14:textId="323FF158" w:rsidR="00555EB9" w:rsidRDefault="009B5F54">
      <w:pPr>
        <w:tabs>
          <w:tab w:val="left" w:pos="1985"/>
        </w:tabs>
        <w:ind w:left="1985" w:hanging="1985"/>
        <w:rPr>
          <w:i/>
          <w:iCs/>
          <w:strike/>
          <w:szCs w:val="24"/>
        </w:rPr>
      </w:pPr>
      <w:r>
        <w:rPr>
          <w:szCs w:val="24"/>
        </w:rPr>
        <w:t>ISO 14155</w:t>
      </w:r>
      <w:r w:rsidR="005709A9">
        <w:rPr>
          <w:iCs/>
          <w:szCs w:val="24"/>
        </w:rPr>
        <w:t>:</w:t>
      </w:r>
      <w:r>
        <w:rPr>
          <w:szCs w:val="24"/>
          <w:lang w:eastAsia="zh-CN"/>
        </w:rPr>
        <w:t>2011</w:t>
      </w:r>
      <w:r>
        <w:rPr>
          <w:i/>
          <w:lang w:val="en-GB"/>
        </w:rPr>
        <w:t xml:space="preserve"> Clinical investigation of medical devices for human subjects — Good clinical practice </w:t>
      </w:r>
    </w:p>
    <w:p w14:paraId="62D79689" w14:textId="77777777" w:rsidR="00555EB9" w:rsidRDefault="00555EB9">
      <w:pPr>
        <w:tabs>
          <w:tab w:val="left" w:pos="1985"/>
        </w:tabs>
        <w:ind w:left="1985" w:hanging="1985"/>
        <w:rPr>
          <w:strike/>
          <w:szCs w:val="24"/>
        </w:rPr>
      </w:pPr>
    </w:p>
    <w:p w14:paraId="03B6EB00" w14:textId="46F4CED5" w:rsidR="00555EB9" w:rsidRDefault="009B5F54">
      <w:pPr>
        <w:tabs>
          <w:tab w:val="left" w:pos="1985"/>
        </w:tabs>
        <w:ind w:left="1985" w:hanging="1985"/>
        <w:rPr>
          <w:i/>
          <w:iCs/>
          <w:szCs w:val="24"/>
        </w:rPr>
      </w:pPr>
      <w:r>
        <w:rPr>
          <w:iCs/>
          <w:szCs w:val="24"/>
        </w:rPr>
        <w:t>ISO 14971:2007</w:t>
      </w:r>
      <w:r>
        <w:rPr>
          <w:rFonts w:hint="eastAsia"/>
          <w:i/>
          <w:iCs/>
          <w:szCs w:val="24"/>
          <w:lang w:eastAsia="zh-CN"/>
        </w:rPr>
        <w:t xml:space="preserve"> </w:t>
      </w:r>
      <w:r>
        <w:rPr>
          <w:i/>
          <w:w w:val="95"/>
        </w:rPr>
        <w:t>Medical devices</w:t>
      </w:r>
      <w:r>
        <w:rPr>
          <w:w w:val="95"/>
        </w:rPr>
        <w:t xml:space="preserve"> -</w:t>
      </w:r>
      <w:hyperlink r:id="rId19" w:history="1">
        <w:r>
          <w:rPr>
            <w:rStyle w:val="Hyperlink"/>
            <w:i/>
            <w:sz w:val="24"/>
            <w:szCs w:val="24"/>
            <w:u w:val="none"/>
          </w:rPr>
          <w:t>Application of risk management to medical devices</w:t>
        </w:r>
      </w:hyperlink>
    </w:p>
    <w:p w14:paraId="1EB329BE" w14:textId="77777777" w:rsidR="00555EB9" w:rsidRDefault="00555EB9" w:rsidP="008E2027">
      <w:pPr>
        <w:tabs>
          <w:tab w:val="left" w:pos="1985"/>
        </w:tabs>
        <w:ind w:left="1985" w:hanging="1985"/>
      </w:pPr>
    </w:p>
    <w:p w14:paraId="5A551877" w14:textId="77777777" w:rsidR="00555EB9" w:rsidRDefault="009B5F54">
      <w:pPr>
        <w:tabs>
          <w:tab w:val="left" w:pos="1985"/>
        </w:tabs>
        <w:ind w:left="1985" w:hanging="1985"/>
      </w:pPr>
      <w:r>
        <w:rPr>
          <w:b/>
        </w:rPr>
        <w:t>Other References</w:t>
      </w:r>
    </w:p>
    <w:p w14:paraId="0D988126" w14:textId="77777777" w:rsidR="00555EB9" w:rsidRDefault="00555EB9">
      <w:pPr>
        <w:tabs>
          <w:tab w:val="left" w:pos="1985"/>
        </w:tabs>
        <w:ind w:left="1985" w:hanging="1985"/>
      </w:pPr>
    </w:p>
    <w:p w14:paraId="2E9F4235" w14:textId="77777777" w:rsidR="00555EB9" w:rsidRDefault="003A5543">
      <w:pPr>
        <w:tabs>
          <w:tab w:val="left" w:pos="1985"/>
        </w:tabs>
        <w:rPr>
          <w:i/>
          <w:szCs w:val="24"/>
        </w:rPr>
      </w:pPr>
      <w:hyperlink r:id="rId20" w:history="1">
        <w:r w:rsidR="009B5F54">
          <w:rPr>
            <w:rStyle w:val="Hyperlink"/>
            <w:i/>
            <w:sz w:val="24"/>
            <w:szCs w:val="24"/>
            <w:u w:val="none"/>
          </w:rPr>
          <w:t>World Medical Association – Declaration of Helsinki - Ethical principles for medical research involving human subjects</w:t>
        </w:r>
      </w:hyperlink>
    </w:p>
    <w:p w14:paraId="06FFD5BA" w14:textId="6E2F441B" w:rsidR="00C079D5" w:rsidRDefault="00C079D5" w:rsidP="00DE68FC">
      <w:pPr>
        <w:tabs>
          <w:tab w:val="left" w:pos="1985"/>
        </w:tabs>
      </w:pPr>
    </w:p>
    <w:p w14:paraId="72405583" w14:textId="74CC67C7" w:rsidR="00555EB9" w:rsidRDefault="009B5F54">
      <w:pPr>
        <w:pStyle w:val="berschrift1"/>
      </w:pPr>
      <w:bookmarkStart w:id="7" w:name="_Toc128308418"/>
      <w:bookmarkStart w:id="8" w:name="_Toc21544253"/>
      <w:r>
        <w:t>4.</w:t>
      </w:r>
      <w:r w:rsidR="00537BA3">
        <w:rPr>
          <w:rFonts w:hint="eastAsia"/>
          <w:lang w:eastAsia="zh-CN"/>
        </w:rPr>
        <w:t>0</w:t>
      </w:r>
      <w:r w:rsidR="002C2F97">
        <w:rPr>
          <w:lang w:eastAsia="zh-CN"/>
        </w:rPr>
        <w:t xml:space="preserve"> </w:t>
      </w:r>
      <w:r>
        <w:t>Definitions</w:t>
      </w:r>
      <w:bookmarkEnd w:id="7"/>
      <w:bookmarkEnd w:id="8"/>
    </w:p>
    <w:p w14:paraId="6CE097DC" w14:textId="78746F95" w:rsidR="009D1563" w:rsidRDefault="009D1563">
      <w:pPr>
        <w:tabs>
          <w:tab w:val="left" w:pos="1701"/>
        </w:tabs>
        <w:ind w:left="1701" w:hanging="1701"/>
        <w:rPr>
          <w:b/>
          <w:bCs/>
        </w:rPr>
      </w:pPr>
      <w:r w:rsidRPr="00AC5F8D">
        <w:rPr>
          <w:b/>
          <w:spacing w:val="-1"/>
        </w:rPr>
        <w:t>Adverse Event:</w:t>
      </w:r>
      <w:r w:rsidRPr="00AC5F8D">
        <w:rPr>
          <w:b/>
        </w:rPr>
        <w:t xml:space="preserve"> </w:t>
      </w:r>
      <w:r w:rsidRPr="00AC5F8D">
        <w:t xml:space="preserve">Any untoward </w:t>
      </w:r>
      <w:r w:rsidRPr="00AC5F8D">
        <w:rPr>
          <w:spacing w:val="-1"/>
        </w:rPr>
        <w:t>medical</w:t>
      </w:r>
      <w:r w:rsidRPr="00AC5F8D">
        <w:t xml:space="preserve"> occurrence i</w:t>
      </w:r>
      <w:r>
        <w:t xml:space="preserve">n </w:t>
      </w:r>
      <w:r w:rsidR="00211DB8">
        <w:t>patients/subjects</w:t>
      </w:r>
      <w:r>
        <w:t>, users or other persons, whether or not related to the investigational device, that occurred in the course of the investigation.</w:t>
      </w:r>
      <w:r w:rsidR="001E58C9">
        <w:t xml:space="preserve"> (</w:t>
      </w:r>
      <w:r w:rsidR="001E58C9" w:rsidRPr="00E3415A">
        <w:rPr>
          <w:b/>
        </w:rPr>
        <w:t>Note:</w:t>
      </w:r>
      <w:r w:rsidR="001E58C9">
        <w:t xml:space="preserve"> For users or other persons, this definition is restricted to events related to investigational medical devices.)</w:t>
      </w:r>
    </w:p>
    <w:p w14:paraId="21C5BB56" w14:textId="77777777" w:rsidR="009D1563" w:rsidRDefault="009D1563">
      <w:pPr>
        <w:tabs>
          <w:tab w:val="left" w:pos="1701"/>
        </w:tabs>
        <w:ind w:left="1701" w:hanging="1701"/>
        <w:rPr>
          <w:b/>
          <w:bCs/>
        </w:rPr>
      </w:pPr>
    </w:p>
    <w:p w14:paraId="291D76CE" w14:textId="77777777" w:rsidR="00555EB9" w:rsidRDefault="009B5F54">
      <w:pPr>
        <w:tabs>
          <w:tab w:val="left" w:pos="1701"/>
        </w:tabs>
        <w:ind w:left="1701" w:hanging="1701"/>
      </w:pPr>
      <w:r>
        <w:rPr>
          <w:b/>
          <w:bCs/>
        </w:rPr>
        <w:t>Clinical Data:</w:t>
      </w:r>
      <w:r>
        <w:rPr>
          <w:b/>
          <w:bCs/>
        </w:rPr>
        <w:tab/>
      </w:r>
      <w:r>
        <w:rPr>
          <w:spacing w:val="-1"/>
        </w:rPr>
        <w:t>Safety, clinical performance, and/or effectiveness</w:t>
      </w:r>
      <w:r>
        <w:t xml:space="preserve"> </w:t>
      </w:r>
      <w:r>
        <w:rPr>
          <w:spacing w:val="-1"/>
        </w:rPr>
        <w:t>information</w:t>
      </w:r>
      <w:r>
        <w:t xml:space="preserve"> that </w:t>
      </w:r>
      <w:r>
        <w:rPr>
          <w:spacing w:val="-1"/>
        </w:rPr>
        <w:t>is generated from the clinical use of</w:t>
      </w:r>
      <w:r>
        <w:rPr>
          <w:spacing w:val="68"/>
        </w:rPr>
        <w:t xml:space="preserve"> </w:t>
      </w:r>
      <w:r>
        <w:t xml:space="preserve">a </w:t>
      </w:r>
      <w:r>
        <w:rPr>
          <w:spacing w:val="-1"/>
        </w:rPr>
        <w:t>medical</w:t>
      </w:r>
      <w:r>
        <w:t xml:space="preserve"> device. </w:t>
      </w:r>
    </w:p>
    <w:p w14:paraId="6A638C2F" w14:textId="77777777" w:rsidR="00555EB9" w:rsidRDefault="00555EB9">
      <w:pPr>
        <w:tabs>
          <w:tab w:val="left" w:pos="1701"/>
        </w:tabs>
        <w:ind w:left="1701" w:hanging="1701"/>
      </w:pPr>
    </w:p>
    <w:p w14:paraId="0805CEA1" w14:textId="77777777" w:rsidR="00555EB9" w:rsidRDefault="009B5F54">
      <w:pPr>
        <w:tabs>
          <w:tab w:val="left" w:pos="540"/>
        </w:tabs>
        <w:ind w:left="1701" w:hanging="1701"/>
        <w:rPr>
          <w:strike/>
        </w:rPr>
      </w:pPr>
      <w:r>
        <w:rPr>
          <w:b/>
          <w:bCs/>
        </w:rPr>
        <w:t>Clinical Evaluation:</w:t>
      </w:r>
      <w:r>
        <w:rPr>
          <w:b/>
          <w:bCs/>
        </w:rPr>
        <w:tab/>
      </w:r>
      <w:r>
        <w:rPr>
          <w:rFonts w:hint="eastAsia"/>
          <w:lang w:eastAsia="zh-CN"/>
        </w:rPr>
        <w:t xml:space="preserve">A </w:t>
      </w:r>
      <w:r>
        <w:t xml:space="preserve">set of ongoing activities that use scientifically sound methods for the assessment and analysis of clinical data to verify the </w:t>
      </w:r>
      <w:r>
        <w:rPr>
          <w:spacing w:val="-1"/>
        </w:rPr>
        <w:t>safety</w:t>
      </w:r>
      <w:r>
        <w:rPr>
          <w:spacing w:val="-2"/>
        </w:rPr>
        <w:t xml:space="preserve">, </w:t>
      </w:r>
      <w:r>
        <w:rPr>
          <w:spacing w:val="-1"/>
        </w:rPr>
        <w:t>clinical</w:t>
      </w:r>
      <w:r>
        <w:t xml:space="preserve"> </w:t>
      </w:r>
      <w:r>
        <w:rPr>
          <w:spacing w:val="-1"/>
        </w:rPr>
        <w:lastRenderedPageBreak/>
        <w:t>performance, and/or effectiveness</w:t>
      </w:r>
      <w:r>
        <w:t xml:space="preserve"> of the </w:t>
      </w:r>
      <w:r>
        <w:rPr>
          <w:rFonts w:hint="eastAsia"/>
          <w:lang w:eastAsia="zh-CN"/>
        </w:rPr>
        <w:t xml:space="preserve">medical </w:t>
      </w:r>
      <w:r>
        <w:t>device when used as intended by the manufacturer.</w:t>
      </w:r>
    </w:p>
    <w:p w14:paraId="61D4AB03" w14:textId="77777777" w:rsidR="00555EB9" w:rsidRDefault="00555EB9">
      <w:pPr>
        <w:tabs>
          <w:tab w:val="left" w:pos="540"/>
        </w:tabs>
        <w:ind w:left="1699" w:hangingChars="708" w:hanging="1699"/>
        <w:rPr>
          <w:lang w:eastAsia="zh-CN"/>
        </w:rPr>
      </w:pPr>
    </w:p>
    <w:p w14:paraId="36B17898" w14:textId="67447712" w:rsidR="00555EB9" w:rsidRDefault="009B5F54">
      <w:pPr>
        <w:tabs>
          <w:tab w:val="left" w:pos="540"/>
        </w:tabs>
        <w:ind w:left="1701" w:hanging="1701"/>
      </w:pPr>
      <w:r>
        <w:rPr>
          <w:b/>
          <w:bCs/>
        </w:rPr>
        <w:t>Clinical Evidence:</w:t>
      </w:r>
      <w:r>
        <w:t xml:space="preserve"> The clinical data and </w:t>
      </w:r>
      <w:r w:rsidR="00171883">
        <w:t>its clinical evaluation</w:t>
      </w:r>
      <w:r>
        <w:t xml:space="preserve"> pertaining to a medical device.</w:t>
      </w:r>
    </w:p>
    <w:p w14:paraId="516C2547" w14:textId="77777777" w:rsidR="00555EB9" w:rsidRDefault="00555EB9">
      <w:pPr>
        <w:tabs>
          <w:tab w:val="left" w:pos="540"/>
        </w:tabs>
        <w:ind w:left="1701" w:hanging="1701"/>
      </w:pPr>
    </w:p>
    <w:p w14:paraId="3CDEE843" w14:textId="77777777" w:rsidR="00555EB9" w:rsidRDefault="009B5F54">
      <w:pPr>
        <w:tabs>
          <w:tab w:val="left" w:pos="540"/>
        </w:tabs>
        <w:ind w:left="1701" w:hanging="1701"/>
        <w:rPr>
          <w:strike/>
          <w:lang w:eastAsia="zh-CN"/>
        </w:rPr>
      </w:pPr>
      <w:r>
        <w:rPr>
          <w:b/>
          <w:bCs/>
        </w:rPr>
        <w:t>Clinical Investigation:</w:t>
      </w:r>
      <w:bookmarkStart w:id="9" w:name="OLE_LINK1"/>
      <w:bookmarkStart w:id="10" w:name="OLE_LINK2"/>
      <w:r>
        <w:t xml:space="preserve"> Any systematic investigation or study in or on one or more human subjects, undertaken to assess the</w:t>
      </w:r>
      <w:r>
        <w:rPr>
          <w:bCs/>
        </w:rPr>
        <w:t xml:space="preserve"> </w:t>
      </w:r>
      <w:r>
        <w:rPr>
          <w:spacing w:val="-1"/>
        </w:rPr>
        <w:t>safety</w:t>
      </w:r>
      <w:r>
        <w:rPr>
          <w:spacing w:val="-2"/>
        </w:rPr>
        <w:t xml:space="preserve">, </w:t>
      </w:r>
      <w:r>
        <w:rPr>
          <w:spacing w:val="-1"/>
        </w:rPr>
        <w:t>clinical</w:t>
      </w:r>
      <w:r>
        <w:t xml:space="preserve"> </w:t>
      </w:r>
      <w:r>
        <w:rPr>
          <w:spacing w:val="-1"/>
        </w:rPr>
        <w:t>performance, and/or effectiveness</w:t>
      </w:r>
      <w:r>
        <w:t xml:space="preserve"> of a medical device.</w:t>
      </w:r>
    </w:p>
    <w:bookmarkEnd w:id="9"/>
    <w:bookmarkEnd w:id="10"/>
    <w:p w14:paraId="4E813984" w14:textId="77777777" w:rsidR="00555EB9" w:rsidRDefault="009B5F54">
      <w:pPr>
        <w:tabs>
          <w:tab w:val="left" w:pos="5677"/>
        </w:tabs>
      </w:pPr>
      <w:r>
        <w:tab/>
      </w:r>
    </w:p>
    <w:p w14:paraId="4E885B5D" w14:textId="77777777" w:rsidR="00555EB9" w:rsidRDefault="009B5F54">
      <w:pPr>
        <w:tabs>
          <w:tab w:val="left" w:pos="540"/>
        </w:tabs>
        <w:ind w:left="1701" w:hanging="1701"/>
      </w:pPr>
      <w:r>
        <w:rPr>
          <w:b/>
          <w:bCs/>
        </w:rPr>
        <w:t>Clinical Investigation Plan:</w:t>
      </w:r>
      <w:r>
        <w:t xml:space="preserve"> Document that states the rationale, objectives, design and </w:t>
      </w:r>
      <w:r>
        <w:rPr>
          <w:rFonts w:hint="eastAsia"/>
          <w:bCs/>
          <w:lang w:eastAsia="zh-CN"/>
        </w:rPr>
        <w:t>pre-specified</w:t>
      </w:r>
      <w:r>
        <w:t xml:space="preserve"> analysis, methodology, monitoring, conduct and record-keeping of the clinical investigation.</w:t>
      </w:r>
    </w:p>
    <w:p w14:paraId="3925A1EF" w14:textId="77777777" w:rsidR="00555EB9" w:rsidRDefault="00555EB9" w:rsidP="00E3415A">
      <w:pPr>
        <w:tabs>
          <w:tab w:val="left" w:pos="540"/>
        </w:tabs>
        <w:rPr>
          <w:strike/>
        </w:rPr>
      </w:pPr>
    </w:p>
    <w:p w14:paraId="4D113B91" w14:textId="7BCC2026" w:rsidR="00555EB9" w:rsidRDefault="006A56AF" w:rsidP="00E3415A">
      <w:pPr>
        <w:pStyle w:val="Textkrper"/>
        <w:ind w:leftChars="-9" w:left="1680" w:rightChars="139" w:right="334" w:hanging="1702"/>
      </w:pPr>
      <w:r>
        <w:rPr>
          <w:b/>
        </w:rPr>
        <w:t xml:space="preserve">Clinical </w:t>
      </w:r>
      <w:r>
        <w:rPr>
          <w:b/>
          <w:spacing w:val="-1"/>
        </w:rPr>
        <w:t>Performance:</w:t>
      </w:r>
      <w:r>
        <w:rPr>
          <w:b/>
          <w:spacing w:val="59"/>
        </w:rPr>
        <w:t xml:space="preserve"> </w:t>
      </w:r>
      <w:r>
        <w:t xml:space="preserve">The ability </w:t>
      </w:r>
      <w:r>
        <w:rPr>
          <w:spacing w:val="-1"/>
        </w:rPr>
        <w:t xml:space="preserve">of </w:t>
      </w:r>
      <w:r>
        <w:t xml:space="preserve">a </w:t>
      </w:r>
      <w:r>
        <w:rPr>
          <w:spacing w:val="-1"/>
        </w:rPr>
        <w:t>medical</w:t>
      </w:r>
      <w:r>
        <w:t xml:space="preserve"> device to</w:t>
      </w:r>
      <w:r>
        <w:rPr>
          <w:spacing w:val="-1"/>
        </w:rPr>
        <w:t xml:space="preserve"> </w:t>
      </w:r>
      <w:r>
        <w:t>achieve its intended clinical purpose as</w:t>
      </w:r>
      <w:r>
        <w:rPr>
          <w:spacing w:val="30"/>
        </w:rPr>
        <w:t xml:space="preserve"> </w:t>
      </w:r>
      <w:r>
        <w:rPr>
          <w:spacing w:val="-1"/>
        </w:rPr>
        <w:t>claimed</w:t>
      </w:r>
      <w:r>
        <w:t xml:space="preserve"> by the </w:t>
      </w:r>
      <w:r>
        <w:rPr>
          <w:spacing w:val="-1"/>
        </w:rPr>
        <w:t xml:space="preserve">manufacturer. </w:t>
      </w:r>
    </w:p>
    <w:p w14:paraId="29270551" w14:textId="77777777" w:rsidR="00555EB9" w:rsidRDefault="00555EB9">
      <w:pPr>
        <w:tabs>
          <w:tab w:val="left" w:pos="540"/>
        </w:tabs>
      </w:pPr>
    </w:p>
    <w:p w14:paraId="5903AD85" w14:textId="19B909E3" w:rsidR="00555EB9" w:rsidRDefault="009B5F54">
      <w:pPr>
        <w:ind w:left="1701" w:hanging="1701"/>
        <w:rPr>
          <w:strike/>
          <w:u w:val="single"/>
          <w:lang w:eastAsia="zh-CN"/>
        </w:rPr>
      </w:pPr>
      <w:r>
        <w:rPr>
          <w:b/>
          <w:lang w:val="en-GB"/>
        </w:rPr>
        <w:t>Conformity Assessment:</w:t>
      </w:r>
      <w:r>
        <w:rPr>
          <w:lang w:val="en-GB"/>
        </w:rPr>
        <w:t xml:space="preserve"> </w:t>
      </w:r>
      <w:bookmarkStart w:id="11" w:name="OLE_LINK5"/>
      <w:r>
        <w:rPr>
          <w:lang w:val="en-GB"/>
        </w:rPr>
        <w:t>The systematic examination of evidence generated and procedures undertaken by the manufactu</w:t>
      </w:r>
      <w:bookmarkEnd w:id="11"/>
      <w:r>
        <w:rPr>
          <w:lang w:val="en-GB"/>
        </w:rPr>
        <w:t>rer, under requirements established by the Regulatory Authority, to determine that a medical device is safe and performs as intended by the manufacturer and, therefore, conforms to the</w:t>
      </w:r>
      <w:r>
        <w:rPr>
          <w:rFonts w:hint="eastAsia"/>
          <w:lang w:eastAsia="zh-CN"/>
        </w:rPr>
        <w:t xml:space="preserve"> </w:t>
      </w:r>
      <w:r>
        <w:rPr>
          <w:rFonts w:hint="eastAsia"/>
          <w:i/>
          <w:iCs/>
          <w:lang w:eastAsia="zh-CN"/>
        </w:rPr>
        <w:t xml:space="preserve">Essential </w:t>
      </w:r>
      <w:r>
        <w:rPr>
          <w:i/>
          <w:iCs/>
          <w:lang w:val="en-GB"/>
        </w:rPr>
        <w:t>Principles</w:t>
      </w:r>
      <w:r w:rsidR="00171883">
        <w:rPr>
          <w:i/>
          <w:iCs/>
          <w:lang w:val="en-GB"/>
        </w:rPr>
        <w:t>.</w:t>
      </w:r>
    </w:p>
    <w:p w14:paraId="7D24B0E3" w14:textId="77777777" w:rsidR="00555EB9" w:rsidRDefault="00555EB9">
      <w:pPr>
        <w:ind w:left="1701" w:hanging="1701"/>
        <w:rPr>
          <w:lang w:eastAsia="zh-CN"/>
        </w:rPr>
      </w:pPr>
    </w:p>
    <w:p w14:paraId="38906278" w14:textId="60FA5501" w:rsidR="00623E72" w:rsidRDefault="006A56AF" w:rsidP="006A56AF">
      <w:pPr>
        <w:pStyle w:val="Textkrper"/>
        <w:ind w:leftChars="-9" w:left="1680" w:rightChars="139" w:right="334" w:hanging="1702"/>
        <w:rPr>
          <w:rFonts w:eastAsiaTheme="minorEastAsia"/>
          <w:spacing w:val="-1"/>
          <w:lang w:eastAsia="zh-CN"/>
        </w:rPr>
      </w:pPr>
      <w:r>
        <w:rPr>
          <w:b/>
        </w:rPr>
        <w:t xml:space="preserve">Effectiveness: </w:t>
      </w:r>
      <w:r>
        <w:t>The ability of a medical device to achieve clinically meaningful outcome(s) in its intended use as claimed by the manufacturer.</w:t>
      </w:r>
    </w:p>
    <w:p w14:paraId="03A2F20C" w14:textId="3D6BD5F1" w:rsidR="00555EB9" w:rsidRDefault="009B5F54">
      <w:pPr>
        <w:tabs>
          <w:tab w:val="left" w:pos="1710"/>
        </w:tabs>
        <w:ind w:left="1710" w:hanging="1710"/>
        <w:rPr>
          <w:lang w:val="en-GB"/>
        </w:rPr>
      </w:pPr>
      <w:r>
        <w:rPr>
          <w:b/>
          <w:lang w:val="en-GB"/>
        </w:rPr>
        <w:t>Endpoint:</w:t>
      </w:r>
      <w:r>
        <w:rPr>
          <w:lang w:eastAsia="zh-CN"/>
        </w:rPr>
        <w:t xml:space="preserve"> An </w:t>
      </w:r>
      <w:r w:rsidR="00C079D5">
        <w:rPr>
          <w:lang w:val="en-GB"/>
        </w:rPr>
        <w:t>indicator</w:t>
      </w:r>
      <w:r>
        <w:rPr>
          <w:lang w:val="en-GB"/>
        </w:rPr>
        <w:t xml:space="preserve"> used for providing the evidence for safety, clinical</w:t>
      </w:r>
      <w:r>
        <w:rPr>
          <w:rFonts w:hint="eastAsia"/>
          <w:lang w:eastAsia="zh-CN"/>
        </w:rPr>
        <w:t xml:space="preserve"> </w:t>
      </w:r>
      <w:r>
        <w:rPr>
          <w:lang w:val="en-GB"/>
        </w:rPr>
        <w:t>performance, and/or effectiveness in a clinical investigation (ISO 14155:2011, modified).</w:t>
      </w:r>
    </w:p>
    <w:p w14:paraId="1D2C7A52" w14:textId="77777777" w:rsidR="00555EB9" w:rsidRDefault="00555EB9">
      <w:pPr>
        <w:tabs>
          <w:tab w:val="left" w:pos="1710"/>
        </w:tabs>
        <w:ind w:left="1710" w:hanging="1710"/>
        <w:rPr>
          <w:lang w:val="en-GB"/>
        </w:rPr>
      </w:pPr>
    </w:p>
    <w:p w14:paraId="4E5D6BF6" w14:textId="77777777" w:rsidR="00555EB9" w:rsidRDefault="009B5F54">
      <w:pPr>
        <w:tabs>
          <w:tab w:val="left" w:pos="540"/>
        </w:tabs>
        <w:ind w:left="1701" w:hanging="1701"/>
        <w:rPr>
          <w:bCs/>
          <w:lang w:eastAsia="zh-CN"/>
        </w:rPr>
      </w:pPr>
      <w:r>
        <w:rPr>
          <w:b/>
          <w:bCs/>
          <w:lang w:eastAsia="zh-CN"/>
        </w:rPr>
        <w:t xml:space="preserve">Multi-Regional Clinical </w:t>
      </w:r>
      <w:r>
        <w:rPr>
          <w:rFonts w:hint="eastAsia"/>
          <w:b/>
          <w:bCs/>
          <w:lang w:eastAsia="zh-CN"/>
        </w:rPr>
        <w:t>Investigation</w:t>
      </w:r>
      <w:r>
        <w:rPr>
          <w:b/>
          <w:bCs/>
          <w:lang w:eastAsia="zh-CN"/>
        </w:rPr>
        <w:t>:</w:t>
      </w:r>
      <w:r>
        <w:rPr>
          <w:bCs/>
          <w:lang w:eastAsia="zh-CN"/>
        </w:rPr>
        <w:t xml:space="preserve"> A clinical i</w:t>
      </w:r>
      <w:r>
        <w:rPr>
          <w:rFonts w:hint="eastAsia"/>
          <w:bCs/>
          <w:lang w:eastAsia="zh-CN"/>
        </w:rPr>
        <w:t>nvestigation</w:t>
      </w:r>
      <w:r>
        <w:rPr>
          <w:bCs/>
          <w:lang w:eastAsia="zh-CN"/>
        </w:rPr>
        <w:t xml:space="preserve"> conducted in more than one region under a single protocol.</w:t>
      </w:r>
    </w:p>
    <w:p w14:paraId="7103A3D7" w14:textId="77777777" w:rsidR="00555EB9" w:rsidRDefault="00555EB9">
      <w:pPr>
        <w:tabs>
          <w:tab w:val="left" w:pos="540"/>
        </w:tabs>
        <w:ind w:left="1701" w:hanging="1701"/>
        <w:rPr>
          <w:b/>
          <w:bCs/>
          <w:lang w:eastAsia="zh-CN"/>
        </w:rPr>
      </w:pPr>
    </w:p>
    <w:p w14:paraId="33B16964" w14:textId="77777777" w:rsidR="00555EB9" w:rsidRDefault="009B5F54">
      <w:pPr>
        <w:tabs>
          <w:tab w:val="left" w:pos="540"/>
        </w:tabs>
        <w:ind w:left="1701" w:hanging="1701"/>
        <w:rPr>
          <w:bCs/>
          <w:lang w:eastAsia="zh-CN"/>
        </w:rPr>
      </w:pPr>
      <w:r>
        <w:rPr>
          <w:b/>
          <w:bCs/>
          <w:lang w:eastAsia="zh-CN"/>
        </w:rPr>
        <w:t>Region:</w:t>
      </w:r>
      <w:r>
        <w:rPr>
          <w:bCs/>
          <w:lang w:eastAsia="zh-CN"/>
        </w:rPr>
        <w:t xml:space="preserve"> A geographical region, country or regulatory region</w:t>
      </w:r>
      <w:r>
        <w:rPr>
          <w:rFonts w:hint="eastAsia"/>
          <w:bCs/>
          <w:lang w:eastAsia="zh-CN"/>
        </w:rPr>
        <w:t>.</w:t>
      </w:r>
    </w:p>
    <w:p w14:paraId="3824E597" w14:textId="77777777" w:rsidR="00555EB9" w:rsidRDefault="00555EB9">
      <w:pPr>
        <w:tabs>
          <w:tab w:val="left" w:pos="540"/>
        </w:tabs>
        <w:ind w:left="1701" w:hanging="1701"/>
        <w:rPr>
          <w:b/>
          <w:bCs/>
          <w:u w:val="single"/>
          <w:lang w:eastAsia="zh-CN"/>
        </w:rPr>
      </w:pPr>
    </w:p>
    <w:p w14:paraId="7A889789" w14:textId="4DAD9FE5" w:rsidR="00555EB9" w:rsidRDefault="009B5F54">
      <w:pPr>
        <w:tabs>
          <w:tab w:val="left" w:pos="540"/>
        </w:tabs>
        <w:ind w:left="1701" w:hanging="1701"/>
        <w:rPr>
          <w:bCs/>
          <w:lang w:eastAsia="zh-CN"/>
        </w:rPr>
      </w:pPr>
      <w:r>
        <w:rPr>
          <w:b/>
          <w:bCs/>
          <w:lang w:eastAsia="zh-CN"/>
        </w:rPr>
        <w:t xml:space="preserve">Regulatory Region: </w:t>
      </w:r>
      <w:r>
        <w:rPr>
          <w:bCs/>
          <w:lang w:eastAsia="zh-CN"/>
        </w:rPr>
        <w:t>A region comprised of jurisdictions for which common set</w:t>
      </w:r>
      <w:r w:rsidR="001B6CCA">
        <w:rPr>
          <w:bCs/>
          <w:lang w:eastAsia="zh-CN"/>
        </w:rPr>
        <w:t>s</w:t>
      </w:r>
      <w:r>
        <w:rPr>
          <w:bCs/>
          <w:lang w:eastAsia="zh-CN"/>
        </w:rPr>
        <w:t xml:space="preserve"> of regulatory requirements appl</w:t>
      </w:r>
      <w:r w:rsidR="001B6CCA">
        <w:rPr>
          <w:bCs/>
          <w:lang w:eastAsia="zh-CN"/>
        </w:rPr>
        <w:t>y</w:t>
      </w:r>
      <w:r>
        <w:rPr>
          <w:bCs/>
          <w:lang w:eastAsia="zh-CN"/>
        </w:rPr>
        <w:t>.</w:t>
      </w:r>
    </w:p>
    <w:p w14:paraId="652A601F" w14:textId="77777777" w:rsidR="00555EB9" w:rsidRDefault="00555EB9">
      <w:pPr>
        <w:tabs>
          <w:tab w:val="left" w:pos="540"/>
        </w:tabs>
        <w:rPr>
          <w:lang w:val="en-GB"/>
        </w:rPr>
      </w:pPr>
    </w:p>
    <w:p w14:paraId="25B6811F" w14:textId="77777777" w:rsidR="00555EB9" w:rsidRDefault="009B5F54">
      <w:pPr>
        <w:tabs>
          <w:tab w:val="left" w:pos="540"/>
        </w:tabs>
        <w:ind w:left="1710" w:hanging="1710"/>
        <w:rPr>
          <w:lang w:val="en-GB"/>
        </w:rPr>
      </w:pPr>
      <w:r>
        <w:rPr>
          <w:b/>
          <w:lang w:val="en-GB"/>
        </w:rPr>
        <w:t>Residual Risk:</w:t>
      </w:r>
      <w:r>
        <w:rPr>
          <w:lang w:val="en-GB"/>
        </w:rPr>
        <w:tab/>
        <w:t>Risk remaining after risk control measures have been taken (ISO 14971:2007).</w:t>
      </w:r>
    </w:p>
    <w:p w14:paraId="65843F67" w14:textId="77777777" w:rsidR="00555EB9" w:rsidRDefault="00555EB9">
      <w:pPr>
        <w:tabs>
          <w:tab w:val="left" w:pos="540"/>
        </w:tabs>
        <w:ind w:left="1710" w:hanging="1710"/>
        <w:rPr>
          <w:lang w:val="en-GB"/>
        </w:rPr>
      </w:pPr>
    </w:p>
    <w:p w14:paraId="1D8134A7" w14:textId="77777777" w:rsidR="00555EB9" w:rsidRDefault="009B5F54">
      <w:pPr>
        <w:tabs>
          <w:tab w:val="left" w:pos="540"/>
        </w:tabs>
        <w:ind w:left="1710" w:hanging="1710"/>
        <w:rPr>
          <w:lang w:val="en-GB"/>
        </w:rPr>
      </w:pPr>
      <w:r>
        <w:rPr>
          <w:b/>
          <w:lang w:val="en-GB"/>
        </w:rPr>
        <w:t>Risk Management:</w:t>
      </w:r>
      <w:r>
        <w:rPr>
          <w:lang w:val="en-GB"/>
        </w:rPr>
        <w:tab/>
      </w:r>
      <w:r>
        <w:rPr>
          <w:rFonts w:hint="eastAsia"/>
          <w:lang w:eastAsia="zh-CN"/>
        </w:rPr>
        <w:t>S</w:t>
      </w:r>
      <w:proofErr w:type="spellStart"/>
      <w:r>
        <w:rPr>
          <w:lang w:val="en-GB"/>
        </w:rPr>
        <w:t>ystematic</w:t>
      </w:r>
      <w:proofErr w:type="spellEnd"/>
      <w:r>
        <w:rPr>
          <w:lang w:val="en-GB"/>
        </w:rPr>
        <w:t xml:space="preserve"> application of management policies, procedures and practices to the tasks of analysing, evaluating, controlling and monitoring risk (ISO 14971).</w:t>
      </w:r>
    </w:p>
    <w:p w14:paraId="4EB6BAEB" w14:textId="1196C08B" w:rsidR="001B6CCA" w:rsidRDefault="009B5F54" w:rsidP="00E3415A">
      <w:pPr>
        <w:pStyle w:val="Textkrper"/>
        <w:ind w:leftChars="-9" w:left="1680" w:rightChars="139" w:right="334" w:hanging="1702"/>
      </w:pPr>
      <w:r>
        <w:rPr>
          <w:b/>
        </w:rPr>
        <w:t>Safety:</w:t>
      </w:r>
      <w:r>
        <w:t xml:space="preserve"> </w:t>
      </w:r>
      <w:r w:rsidR="001B6CCA">
        <w:rPr>
          <w:bCs/>
        </w:rPr>
        <w:t>A</w:t>
      </w:r>
      <w:r w:rsidR="001B6CCA">
        <w:rPr>
          <w:spacing w:val="-1"/>
        </w:rPr>
        <w:t xml:space="preserve">cceptability of risks as weighed against benefits, </w:t>
      </w:r>
      <w:r w:rsidR="001B6CCA">
        <w:t>when</w:t>
      </w:r>
      <w:r w:rsidR="001B6CCA">
        <w:rPr>
          <w:spacing w:val="-1"/>
        </w:rPr>
        <w:t xml:space="preserve"> </w:t>
      </w:r>
      <w:r w:rsidR="001B6CCA">
        <w:t>using</w:t>
      </w:r>
      <w:r w:rsidR="001B6CCA">
        <w:rPr>
          <w:spacing w:val="-1"/>
        </w:rPr>
        <w:t xml:space="preserve"> </w:t>
      </w:r>
      <w:r w:rsidR="001B6CCA">
        <w:t>the</w:t>
      </w:r>
      <w:r w:rsidR="001B6CCA">
        <w:rPr>
          <w:spacing w:val="-1"/>
        </w:rPr>
        <w:t xml:space="preserve"> </w:t>
      </w:r>
      <w:r w:rsidR="001B6CCA">
        <w:rPr>
          <w:rFonts w:hint="eastAsia"/>
          <w:color w:val="000000"/>
          <w:lang w:eastAsia="zh-CN"/>
        </w:rPr>
        <w:t xml:space="preserve">medical </w:t>
      </w:r>
      <w:r w:rsidR="001B6CCA">
        <w:t>device</w:t>
      </w:r>
      <w:r w:rsidR="001B6CCA">
        <w:rPr>
          <w:spacing w:val="-1"/>
        </w:rPr>
        <w:t xml:space="preserve"> </w:t>
      </w:r>
      <w:r w:rsidR="001B6CCA">
        <w:t>according</w:t>
      </w:r>
      <w:r w:rsidR="001B6CCA">
        <w:rPr>
          <w:spacing w:val="-1"/>
        </w:rPr>
        <w:t xml:space="preserve"> </w:t>
      </w:r>
      <w:r w:rsidR="001B6CCA">
        <w:t>to the</w:t>
      </w:r>
      <w:r w:rsidR="001B6CCA">
        <w:rPr>
          <w:spacing w:val="-1"/>
        </w:rPr>
        <w:t xml:space="preserve"> manufacturer’s labelling.</w:t>
      </w:r>
    </w:p>
    <w:p w14:paraId="00CDA32B" w14:textId="11ADAC46" w:rsidR="00555EB9" w:rsidRDefault="00555EB9">
      <w:pPr>
        <w:tabs>
          <w:tab w:val="left" w:pos="540"/>
        </w:tabs>
      </w:pPr>
    </w:p>
    <w:p w14:paraId="580FBF99" w14:textId="6AA62C50" w:rsidR="00555EB9" w:rsidRDefault="009B5F54">
      <w:pPr>
        <w:pStyle w:val="berschrift1"/>
      </w:pPr>
      <w:bookmarkStart w:id="12" w:name="_Toc148779664"/>
      <w:bookmarkStart w:id="13" w:name="_Toc21544254"/>
      <w:bookmarkEnd w:id="12"/>
      <w:r>
        <w:lastRenderedPageBreak/>
        <w:t>5.</w:t>
      </w:r>
      <w:r w:rsidR="00537BA3">
        <w:rPr>
          <w:rFonts w:hint="eastAsia"/>
          <w:lang w:eastAsia="zh-CN"/>
        </w:rPr>
        <w:t>0</w:t>
      </w:r>
      <w:r>
        <w:t xml:space="preserve"> General Principles When Considering the Need for a Clinical Investigation</w:t>
      </w:r>
      <w:bookmarkEnd w:id="13"/>
    </w:p>
    <w:p w14:paraId="6F364372" w14:textId="77777777" w:rsidR="00555EB9" w:rsidRDefault="00555EB9"/>
    <w:p w14:paraId="0FC657B7" w14:textId="77777777" w:rsidR="00555EB9" w:rsidRDefault="009B5F54">
      <w:pPr>
        <w:rPr>
          <w:b/>
        </w:rPr>
      </w:pPr>
      <w:r>
        <w:rPr>
          <w:b/>
        </w:rPr>
        <w:t>When should a clinical investigation be undertaken?</w:t>
      </w:r>
    </w:p>
    <w:p w14:paraId="471FBF27" w14:textId="77777777" w:rsidR="00555EB9" w:rsidRDefault="00555EB9">
      <w:pPr>
        <w:rPr>
          <w:b/>
        </w:rPr>
      </w:pPr>
    </w:p>
    <w:p w14:paraId="27F5136F" w14:textId="6FFE644D" w:rsidR="00555EB9" w:rsidRDefault="009B5F54">
      <w:pPr>
        <w:tabs>
          <w:tab w:val="left" w:pos="0"/>
          <w:tab w:val="left" w:pos="1701"/>
        </w:tabs>
        <w:rPr>
          <w:iCs/>
        </w:rPr>
      </w:pPr>
      <w:r>
        <w:rPr>
          <w:lang w:eastAsia="zh-CN"/>
        </w:rPr>
        <w:t>C</w:t>
      </w:r>
      <w:r>
        <w:t xml:space="preserve">linical investigations are necessary to provide data not available through other sources (such as literature or </w:t>
      </w:r>
      <w:r w:rsidR="00826B05">
        <w:t>non</w:t>
      </w:r>
      <w:r>
        <w:t>clinical testing) required to demonstrate compliance with the relevant Essential Principles (including safety, clinical performance and acceptability of benefit/risk associated with its use). When a clinical investigation is conducted,</w:t>
      </w:r>
      <w:r>
        <w:rPr>
          <w:rFonts w:hint="eastAsia"/>
          <w:lang w:eastAsia="zh-CN"/>
        </w:rPr>
        <w:t xml:space="preserve"> </w:t>
      </w:r>
      <w:r>
        <w:t xml:space="preserve">the data obtained is used in the clinical evaluation process and is part of the clinical evidence for the </w:t>
      </w:r>
      <w:r>
        <w:rPr>
          <w:rFonts w:hint="eastAsia"/>
          <w:lang w:eastAsia="zh-CN"/>
        </w:rPr>
        <w:t xml:space="preserve">medical </w:t>
      </w:r>
      <w:r>
        <w:t xml:space="preserve">device (see </w:t>
      </w:r>
      <w:r w:rsidRPr="00931CF9">
        <w:rPr>
          <w:lang w:eastAsia="zh-CN"/>
        </w:rPr>
        <w:t>IMDRF/</w:t>
      </w:r>
      <w:r w:rsidRPr="00A13463">
        <w:rPr>
          <w:rFonts w:hint="eastAsia"/>
          <w:lang w:eastAsia="zh-CN"/>
        </w:rPr>
        <w:t>MDCE WG</w:t>
      </w:r>
      <w:r w:rsidRPr="00480B13">
        <w:rPr>
          <w:rFonts w:hint="eastAsia"/>
          <w:lang w:eastAsia="zh-CN"/>
        </w:rPr>
        <w:t>/N</w:t>
      </w:r>
      <w:r w:rsidR="00931CF9" w:rsidRPr="00E3415A">
        <w:rPr>
          <w:lang w:eastAsia="zh-CN"/>
        </w:rPr>
        <w:t>5</w:t>
      </w:r>
      <w:r w:rsidR="00623E72">
        <w:rPr>
          <w:lang w:eastAsia="zh-CN"/>
        </w:rPr>
        <w:t>6</w:t>
      </w:r>
      <w:r w:rsidR="005D3B0E">
        <w:rPr>
          <w:lang w:eastAsia="zh-CN"/>
        </w:rPr>
        <w:t>FINAL:2019</w:t>
      </w:r>
      <w:r w:rsidRPr="00A13463">
        <w:t>– “</w:t>
      </w:r>
      <w:r w:rsidRPr="00A13463">
        <w:rPr>
          <w:i/>
          <w:iCs/>
        </w:rPr>
        <w:t>Clinical Evaluation”</w:t>
      </w:r>
      <w:r w:rsidRPr="00480B13">
        <w:rPr>
          <w:iCs/>
        </w:rPr>
        <w:t>).</w:t>
      </w:r>
    </w:p>
    <w:p w14:paraId="7FF7621C" w14:textId="77777777" w:rsidR="00555EB9" w:rsidRDefault="00555EB9">
      <w:pPr>
        <w:tabs>
          <w:tab w:val="left" w:pos="0"/>
          <w:tab w:val="left" w:pos="1701"/>
        </w:tabs>
        <w:rPr>
          <w:iCs/>
          <w:lang w:eastAsia="zh-CN"/>
        </w:rPr>
      </w:pPr>
    </w:p>
    <w:p w14:paraId="507BD5BD" w14:textId="77777777" w:rsidR="00555EB9" w:rsidRDefault="009B5F54">
      <w:pPr>
        <w:tabs>
          <w:tab w:val="left" w:pos="0"/>
          <w:tab w:val="left" w:pos="1701"/>
        </w:tabs>
        <w:rPr>
          <w:iCs/>
          <w:strike/>
          <w:lang w:eastAsia="zh-CN"/>
        </w:rPr>
      </w:pPr>
      <w:r>
        <w:rPr>
          <w:iCs/>
          <w:lang w:eastAsia="zh-CN"/>
        </w:rPr>
        <w:t xml:space="preserve">When considering the need for a clinical investigation, one should consider whether there are new questions of safety, clinical performance and/or effectiveness </w:t>
      </w:r>
      <w:r>
        <w:rPr>
          <w:rFonts w:hint="eastAsia"/>
          <w:iCs/>
          <w:lang w:eastAsia="zh-CN"/>
        </w:rPr>
        <w:t>for the</w:t>
      </w:r>
      <w:r>
        <w:rPr>
          <w:iCs/>
          <w:lang w:eastAsia="zh-CN"/>
        </w:rPr>
        <w:t xml:space="preserve"> particular </w:t>
      </w:r>
      <w:r>
        <w:rPr>
          <w:rFonts w:hint="eastAsia"/>
          <w:lang w:eastAsia="zh-CN"/>
        </w:rPr>
        <w:t xml:space="preserve">medical </w:t>
      </w:r>
      <w:r>
        <w:rPr>
          <w:iCs/>
          <w:lang w:eastAsia="zh-CN"/>
        </w:rPr>
        <w:t xml:space="preserve">device and intended use that need to be addressed in a clinical investigation. Generally, such questions are more likely to be generated for high risk and/or novel </w:t>
      </w:r>
      <w:r>
        <w:rPr>
          <w:rFonts w:hint="eastAsia"/>
          <w:lang w:eastAsia="zh-CN"/>
        </w:rPr>
        <w:t xml:space="preserve">medical </w:t>
      </w:r>
      <w:r>
        <w:rPr>
          <w:iCs/>
          <w:lang w:eastAsia="zh-CN"/>
        </w:rPr>
        <w:t>devices</w:t>
      </w:r>
      <w:r>
        <w:rPr>
          <w:rFonts w:hint="eastAsia"/>
          <w:iCs/>
          <w:lang w:eastAsia="zh-CN"/>
        </w:rPr>
        <w:t>.</w:t>
      </w:r>
    </w:p>
    <w:p w14:paraId="20EC9895" w14:textId="6B5E99B2" w:rsidR="00555EB9" w:rsidRPr="00DE68FC" w:rsidRDefault="009B5F54" w:rsidP="00DE68FC">
      <w:pPr>
        <w:pStyle w:val="StandardWeb"/>
        <w:rPr>
          <w:strike/>
          <w:u w:val="single"/>
        </w:rPr>
      </w:pPr>
      <w:r>
        <w:t>For long established technologies,</w:t>
      </w:r>
      <w:r>
        <w:rPr>
          <w:rFonts w:hint="eastAsia"/>
          <w:lang w:eastAsia="zh-CN"/>
        </w:rPr>
        <w:t xml:space="preserve"> the </w:t>
      </w:r>
      <w:r>
        <w:t>clinical investigation data that might be required for novel technologies may not be necessary. The available clinical data in the form of, for example, published literature, reports of clinical experience, post-market reports and adverse event data may, in principle, be adequate to establish the safety</w:t>
      </w:r>
      <w:r>
        <w:rPr>
          <w:spacing w:val="-2"/>
        </w:rPr>
        <w:t xml:space="preserve">, </w:t>
      </w:r>
      <w:r>
        <w:rPr>
          <w:spacing w:val="-1"/>
        </w:rPr>
        <w:t>clinical</w:t>
      </w:r>
      <w:r>
        <w:t xml:space="preserve"> </w:t>
      </w:r>
      <w:r>
        <w:rPr>
          <w:spacing w:val="-1"/>
        </w:rPr>
        <w:t xml:space="preserve">performance, and/or effectiveness </w:t>
      </w:r>
      <w:r>
        <w:t xml:space="preserve">of the </w:t>
      </w:r>
      <w:r>
        <w:rPr>
          <w:rFonts w:hint="eastAsia"/>
          <w:lang w:eastAsia="zh-CN"/>
        </w:rPr>
        <w:t xml:space="preserve">medical </w:t>
      </w:r>
      <w:r>
        <w:t xml:space="preserve">device, provided that new risks have not been identified, and that the intended use(s)/purpose(s) has/have not changed. </w:t>
      </w:r>
    </w:p>
    <w:p w14:paraId="2FA662D2" w14:textId="77777777" w:rsidR="00555EB9" w:rsidRDefault="009B5F54">
      <w:pPr>
        <w:rPr>
          <w:b/>
          <w:szCs w:val="24"/>
        </w:rPr>
      </w:pPr>
      <w:r>
        <w:rPr>
          <w:b/>
          <w:szCs w:val="24"/>
        </w:rPr>
        <w:t>What are the key considerations in clarifying the need for clinical investigations?</w:t>
      </w:r>
    </w:p>
    <w:p w14:paraId="1D29F233" w14:textId="77777777" w:rsidR="00555EB9" w:rsidRDefault="00555EB9">
      <w:pPr>
        <w:rPr>
          <w:rFonts w:ascii="Calibri" w:eastAsia="Calibri" w:hAnsi="Calibri"/>
          <w:color w:val="0000FF"/>
          <w:sz w:val="22"/>
          <w:szCs w:val="22"/>
          <w:lang w:val="en-GB"/>
        </w:rPr>
      </w:pPr>
    </w:p>
    <w:p w14:paraId="6D3D552F" w14:textId="77777777" w:rsidR="00555EB9" w:rsidRDefault="009B5F54">
      <w:pPr>
        <w:numPr>
          <w:ilvl w:val="0"/>
          <w:numId w:val="2"/>
        </w:numPr>
        <w:tabs>
          <w:tab w:val="left" w:pos="720"/>
        </w:tabs>
        <w:rPr>
          <w:color w:val="000000"/>
          <w:szCs w:val="24"/>
          <w:lang w:val="en-GB" w:eastAsia="zh-CN"/>
        </w:rPr>
      </w:pPr>
      <w:r>
        <w:rPr>
          <w:color w:val="000000"/>
          <w:szCs w:val="24"/>
          <w:lang w:val="en-GB"/>
        </w:rPr>
        <w:t xml:space="preserve">Identifying relevant clinical </w:t>
      </w:r>
      <w:r>
        <w:rPr>
          <w:b/>
          <w:color w:val="000000"/>
          <w:szCs w:val="24"/>
          <w:lang w:val="en-GB"/>
        </w:rPr>
        <w:t>Essential Principles</w:t>
      </w:r>
      <w:r>
        <w:rPr>
          <w:color w:val="000000"/>
          <w:szCs w:val="24"/>
          <w:lang w:val="en-GB"/>
        </w:rPr>
        <w:t xml:space="preserve"> (for example, specifics of safety, clinical performance, acceptability of benefit/risk) for the </w:t>
      </w:r>
      <w:r>
        <w:rPr>
          <w:rFonts w:hint="eastAsia"/>
          <w:lang w:eastAsia="zh-CN"/>
        </w:rPr>
        <w:t xml:space="preserve">medical </w:t>
      </w:r>
      <w:r>
        <w:rPr>
          <w:color w:val="000000"/>
          <w:szCs w:val="24"/>
          <w:lang w:val="en-GB"/>
        </w:rPr>
        <w:t xml:space="preserve">device and its intended use/purpose(s) (see </w:t>
      </w:r>
      <w:r>
        <w:rPr>
          <w:rFonts w:hint="eastAsia"/>
          <w:iCs/>
          <w:lang w:eastAsia="zh-CN"/>
        </w:rPr>
        <w:t>IMDRF/GRRP WG/N47 FINAL:2018</w:t>
      </w:r>
      <w:r>
        <w:rPr>
          <w:strike/>
          <w:color w:val="000000"/>
          <w:szCs w:val="24"/>
          <w:lang w:val="en-GB"/>
        </w:rPr>
        <w:t xml:space="preserve"> </w:t>
      </w:r>
      <w:r>
        <w:rPr>
          <w:rFonts w:hint="eastAsia"/>
          <w:i/>
          <w:iCs/>
          <w:lang w:eastAsia="zh-CN"/>
        </w:rPr>
        <w:t>Essential Principles of Safety and Performance of Medical Devices and IVD Medical Device</w:t>
      </w:r>
      <w:r>
        <w:rPr>
          <w:color w:val="000000"/>
          <w:szCs w:val="24"/>
          <w:lang w:val="en-GB"/>
        </w:rPr>
        <w:t>);</w:t>
      </w:r>
    </w:p>
    <w:p w14:paraId="64F9D0ED" w14:textId="77777777" w:rsidR="00555EB9" w:rsidRDefault="00555EB9">
      <w:pPr>
        <w:tabs>
          <w:tab w:val="left" w:pos="720"/>
        </w:tabs>
        <w:rPr>
          <w:color w:val="0000FF"/>
        </w:rPr>
      </w:pPr>
    </w:p>
    <w:p w14:paraId="5ED100D1" w14:textId="635DA9A8" w:rsidR="00555EB9" w:rsidRDefault="009B5F54" w:rsidP="00C64283">
      <w:pPr>
        <w:numPr>
          <w:ilvl w:val="0"/>
          <w:numId w:val="2"/>
        </w:numPr>
        <w:tabs>
          <w:tab w:val="left" w:pos="709"/>
        </w:tabs>
        <w:rPr>
          <w:color w:val="000000"/>
          <w:szCs w:val="24"/>
          <w:u w:val="single"/>
          <w:lang w:val="en-GB"/>
        </w:rPr>
      </w:pPr>
      <w:r>
        <w:rPr>
          <w:color w:val="000000"/>
          <w:szCs w:val="24"/>
          <w:lang w:val="en-GB"/>
        </w:rPr>
        <w:t xml:space="preserve">Performing </w:t>
      </w:r>
      <w:r>
        <w:rPr>
          <w:b/>
          <w:color w:val="000000"/>
          <w:szCs w:val="24"/>
          <w:lang w:val="en-GB"/>
        </w:rPr>
        <w:t>risk management</w:t>
      </w:r>
      <w:r>
        <w:rPr>
          <w:color w:val="000000"/>
          <w:szCs w:val="24"/>
          <w:lang w:val="en-GB"/>
        </w:rPr>
        <w:t xml:space="preserve"> (ISO 14971:2007) activities such as a risk analysis will help in</w:t>
      </w:r>
      <w:r>
        <w:rPr>
          <w:rFonts w:hint="eastAsia"/>
          <w:iCs/>
          <w:color w:val="000000"/>
          <w:szCs w:val="24"/>
        </w:rPr>
        <w:t xml:space="preserve"> </w:t>
      </w:r>
      <w:r>
        <w:rPr>
          <w:color w:val="000000"/>
          <w:szCs w:val="24"/>
          <w:lang w:val="en-GB"/>
        </w:rPr>
        <w:t>identifying</w:t>
      </w:r>
      <w:r>
        <w:rPr>
          <w:rFonts w:hint="eastAsia"/>
          <w:color w:val="000000"/>
          <w:szCs w:val="24"/>
          <w:lang w:val="en-GB" w:eastAsia="zh-CN"/>
        </w:rPr>
        <w:t xml:space="preserve"> the clinical data necessary to address</w:t>
      </w:r>
      <w:r>
        <w:rPr>
          <w:color w:val="000000"/>
          <w:szCs w:val="24"/>
          <w:lang w:val="en-GB"/>
        </w:rPr>
        <w:t xml:space="preserve"> </w:t>
      </w:r>
      <w:r>
        <w:rPr>
          <w:color w:val="000000"/>
          <w:szCs w:val="24"/>
          <w:lang w:val="en-GB" w:eastAsia="zh-CN"/>
        </w:rPr>
        <w:t>residual</w:t>
      </w:r>
      <w:r>
        <w:rPr>
          <w:rFonts w:hint="eastAsia"/>
          <w:color w:val="000000"/>
          <w:szCs w:val="24"/>
          <w:lang w:val="en-GB" w:eastAsia="zh-CN"/>
        </w:rPr>
        <w:t xml:space="preserve"> </w:t>
      </w:r>
      <w:r>
        <w:rPr>
          <w:color w:val="000000"/>
          <w:szCs w:val="24"/>
          <w:lang w:val="en-GB"/>
        </w:rPr>
        <w:t xml:space="preserve">risks </w:t>
      </w:r>
      <w:r>
        <w:rPr>
          <w:rFonts w:hint="eastAsia"/>
          <w:color w:val="000000"/>
          <w:szCs w:val="24"/>
          <w:lang w:val="en-GB" w:eastAsia="zh-CN"/>
        </w:rPr>
        <w:t>and aspects of clinical performance</w:t>
      </w:r>
      <w:r>
        <w:rPr>
          <w:color w:val="000000"/>
          <w:szCs w:val="24"/>
          <w:lang w:val="en-GB"/>
        </w:rPr>
        <w:t xml:space="preserve"> not</w:t>
      </w:r>
      <w:r>
        <w:rPr>
          <w:rFonts w:hint="eastAsia"/>
          <w:color w:val="000000"/>
          <w:szCs w:val="24"/>
          <w:lang w:val="en-GB" w:eastAsia="zh-CN"/>
        </w:rPr>
        <w:t xml:space="preserve"> </w:t>
      </w:r>
      <w:r>
        <w:rPr>
          <w:color w:val="000000"/>
          <w:szCs w:val="24"/>
          <w:lang w:val="en-GB"/>
        </w:rPr>
        <w:t xml:space="preserve">completely resolved by available information (e.g. design solutions, </w:t>
      </w:r>
      <w:r w:rsidR="00826B05">
        <w:rPr>
          <w:color w:val="000000"/>
          <w:szCs w:val="24"/>
          <w:lang w:val="en-GB"/>
        </w:rPr>
        <w:t>non</w:t>
      </w:r>
      <w:r>
        <w:rPr>
          <w:color w:val="000000"/>
          <w:szCs w:val="24"/>
          <w:lang w:val="en-GB"/>
        </w:rPr>
        <w:t>clinical and material/technical evaluation, conformity with relevant standards, labelling).</w:t>
      </w:r>
    </w:p>
    <w:p w14:paraId="13194146" w14:textId="77777777" w:rsidR="00555EB9" w:rsidRDefault="00555EB9">
      <w:pPr>
        <w:pStyle w:val="Listenabsatz"/>
        <w:ind w:firstLine="480"/>
      </w:pPr>
    </w:p>
    <w:p w14:paraId="4AE9CAC2" w14:textId="77777777" w:rsidR="00555EB9" w:rsidRDefault="009B5F54">
      <w:pPr>
        <w:tabs>
          <w:tab w:val="left" w:pos="720"/>
        </w:tabs>
        <w:ind w:left="720"/>
        <w:rPr>
          <w:color w:val="000000"/>
          <w:szCs w:val="24"/>
          <w:u w:val="single"/>
          <w:lang w:val="en-GB"/>
        </w:rPr>
      </w:pPr>
      <w:r>
        <w:rPr>
          <w:szCs w:val="24"/>
          <w:lang w:val="en-GB"/>
        </w:rPr>
        <w:t xml:space="preserve">Risk control measures include </w:t>
      </w:r>
      <w:r>
        <w:rPr>
          <w:szCs w:val="24"/>
        </w:rPr>
        <w:t>inherent safety by design, protective measures in the medical device itself or in the manufacturing process, and information for safety. The decision to use a medical device in the context of a clinical procedure requires the residual risk to be balanced against the anticipated benefits of the procedure. A clinical investigation may be required to further elucidate the benefit/risk in a defined patient population</w:t>
      </w:r>
      <w:r>
        <w:rPr>
          <w:color w:val="000000"/>
          <w:szCs w:val="24"/>
          <w:lang w:val="en-GB"/>
        </w:rPr>
        <w:t>;</w:t>
      </w:r>
    </w:p>
    <w:p w14:paraId="06145463" w14:textId="77777777" w:rsidR="00555EB9" w:rsidRDefault="00555EB9">
      <w:pPr>
        <w:tabs>
          <w:tab w:val="left" w:pos="720"/>
        </w:tabs>
        <w:ind w:left="720"/>
        <w:rPr>
          <w:color w:val="000000"/>
          <w:szCs w:val="24"/>
          <w:u w:val="single"/>
          <w:lang w:val="en-GB" w:eastAsia="zh-CN"/>
        </w:rPr>
      </w:pPr>
    </w:p>
    <w:p w14:paraId="54F6209F" w14:textId="6AB83A63" w:rsidR="00555EB9" w:rsidRDefault="009B5F54" w:rsidP="00DE68FC">
      <w:pPr>
        <w:numPr>
          <w:ilvl w:val="0"/>
          <w:numId w:val="3"/>
        </w:numPr>
        <w:tabs>
          <w:tab w:val="clear" w:pos="312"/>
          <w:tab w:val="left" w:pos="709"/>
        </w:tabs>
        <w:ind w:left="714" w:hanging="357"/>
        <w:rPr>
          <w:color w:val="0000FF"/>
        </w:rPr>
      </w:pPr>
      <w:r>
        <w:rPr>
          <w:rFonts w:eastAsia="Wingdings"/>
          <w:color w:val="000000"/>
          <w:szCs w:val="24"/>
          <w:lang w:val="en-GB"/>
        </w:rPr>
        <w:t>Conducting a</w:t>
      </w:r>
      <w:r>
        <w:rPr>
          <w:color w:val="000000"/>
          <w:szCs w:val="24"/>
          <w:lang w:val="en-GB"/>
        </w:rPr>
        <w:t xml:space="preserve"> proper </w:t>
      </w:r>
      <w:r>
        <w:rPr>
          <w:b/>
          <w:color w:val="000000"/>
          <w:szCs w:val="24"/>
          <w:lang w:val="en-GB"/>
        </w:rPr>
        <w:t xml:space="preserve">clinical evaluation </w:t>
      </w:r>
      <w:r>
        <w:rPr>
          <w:color w:val="000000"/>
          <w:szCs w:val="24"/>
          <w:lang w:val="en-GB"/>
        </w:rPr>
        <w:t xml:space="preserve">will demonstrate </w:t>
      </w:r>
      <w:r>
        <w:rPr>
          <w:color w:val="000000"/>
          <w:szCs w:val="24"/>
          <w:lang w:val="en-GB" w:eastAsia="zh-CN"/>
        </w:rPr>
        <w:t>which</w:t>
      </w:r>
      <w:r>
        <w:rPr>
          <w:rFonts w:hint="eastAsia"/>
          <w:color w:val="000000"/>
          <w:szCs w:val="24"/>
          <w:lang w:val="en-GB" w:eastAsia="zh-CN"/>
        </w:rPr>
        <w:t xml:space="preserve"> clinical data are </w:t>
      </w:r>
      <w:r>
        <w:rPr>
          <w:color w:val="000000"/>
          <w:szCs w:val="24"/>
          <w:lang w:val="en-GB"/>
        </w:rPr>
        <w:t>necessary</w:t>
      </w:r>
      <w:r>
        <w:rPr>
          <w:rFonts w:hint="eastAsia"/>
          <w:lang w:eastAsia="zh-CN"/>
        </w:rPr>
        <w:t>,</w:t>
      </w:r>
      <w:r>
        <w:rPr>
          <w:rFonts w:hint="eastAsia"/>
          <w:color w:val="000000"/>
          <w:szCs w:val="24"/>
          <w:lang w:val="en-GB" w:eastAsia="zh-CN"/>
        </w:rPr>
        <w:t xml:space="preserve"> and</w:t>
      </w:r>
      <w:r>
        <w:rPr>
          <w:color w:val="000000"/>
          <w:szCs w:val="24"/>
          <w:lang w:val="en-GB"/>
        </w:rPr>
        <w:t xml:space="preserve"> can be adequately contributed to by sources such as literature searching, prior clinical investigations </w:t>
      </w:r>
      <w:r>
        <w:rPr>
          <w:rFonts w:hint="eastAsia"/>
          <w:szCs w:val="24"/>
          <w:lang w:val="en-GB" w:eastAsia="zh-CN"/>
        </w:rPr>
        <w:t xml:space="preserve">(including </w:t>
      </w:r>
      <w:r>
        <w:rPr>
          <w:szCs w:val="24"/>
          <w:lang w:val="en-GB" w:eastAsia="zh-CN"/>
        </w:rPr>
        <w:t>clinical</w:t>
      </w:r>
      <w:r>
        <w:rPr>
          <w:rFonts w:hint="eastAsia"/>
          <w:szCs w:val="24"/>
          <w:lang w:val="en-GB" w:eastAsia="zh-CN"/>
        </w:rPr>
        <w:t xml:space="preserve"> data generated in other jurisdictions)</w:t>
      </w:r>
      <w:r>
        <w:rPr>
          <w:color w:val="000000"/>
          <w:szCs w:val="24"/>
          <w:lang w:val="en-GB"/>
        </w:rPr>
        <w:t xml:space="preserve">, clinical experience, or clinical data available from comparable devices, and </w:t>
      </w:r>
      <w:r>
        <w:rPr>
          <w:rFonts w:hint="eastAsia"/>
          <w:color w:val="000000"/>
          <w:szCs w:val="24"/>
          <w:lang w:val="en-GB" w:eastAsia="zh-CN"/>
        </w:rPr>
        <w:t xml:space="preserve">which clinical </w:t>
      </w:r>
      <w:r>
        <w:rPr>
          <w:rFonts w:hint="eastAsia"/>
          <w:color w:val="000000"/>
          <w:szCs w:val="24"/>
          <w:lang w:val="en-GB" w:eastAsia="zh-CN"/>
        </w:rPr>
        <w:lastRenderedPageBreak/>
        <w:t>data</w:t>
      </w:r>
      <w:r>
        <w:rPr>
          <w:color w:val="000000"/>
          <w:szCs w:val="24"/>
          <w:lang w:val="en-GB"/>
        </w:rPr>
        <w:t xml:space="preserve"> should be generated from clinical investigation(s)</w:t>
      </w:r>
      <w:r>
        <w:rPr>
          <w:rFonts w:hint="eastAsia"/>
          <w:color w:val="000000"/>
          <w:szCs w:val="24"/>
          <w:lang w:val="en-GB" w:eastAsia="zh-CN"/>
        </w:rPr>
        <w:t xml:space="preserve"> </w:t>
      </w:r>
      <w:r>
        <w:t>when</w:t>
      </w:r>
      <w:r>
        <w:rPr>
          <w:rFonts w:hint="eastAsia"/>
        </w:rPr>
        <w:t xml:space="preserve"> data are</w:t>
      </w:r>
      <w:r>
        <w:t xml:space="preserve"> unavailable or</w:t>
      </w:r>
      <w:r>
        <w:rPr>
          <w:rFonts w:hint="eastAsia"/>
        </w:rPr>
        <w:t xml:space="preserve"> insufficient to demonstrate conformity </w:t>
      </w:r>
      <w:r>
        <w:t>to</w:t>
      </w:r>
      <w:r>
        <w:rPr>
          <w:rFonts w:hint="eastAsia"/>
        </w:rPr>
        <w:t xml:space="preserve"> the Essential Principles</w:t>
      </w:r>
      <w:r>
        <w:rPr>
          <w:color w:val="000000"/>
          <w:szCs w:val="24"/>
          <w:lang w:val="en-GB"/>
        </w:rPr>
        <w:t xml:space="preserve">. Available clinical data from comparable devices should be carefully examined for comparability and adequacy (see </w:t>
      </w:r>
      <w:r>
        <w:rPr>
          <w:iCs/>
          <w:color w:val="000000"/>
          <w:szCs w:val="24"/>
          <w:lang w:val="en-GB"/>
        </w:rPr>
        <w:t>IMDRF/</w:t>
      </w:r>
      <w:r>
        <w:rPr>
          <w:rFonts w:hint="eastAsia"/>
          <w:szCs w:val="24"/>
          <w:lang w:eastAsia="zh-CN"/>
        </w:rPr>
        <w:t>MDCE WG/N</w:t>
      </w:r>
      <w:r w:rsidR="00A13463">
        <w:rPr>
          <w:szCs w:val="24"/>
          <w:lang w:eastAsia="zh-CN"/>
        </w:rPr>
        <w:t>5</w:t>
      </w:r>
      <w:r w:rsidR="00623E72">
        <w:rPr>
          <w:szCs w:val="24"/>
          <w:lang w:eastAsia="zh-CN"/>
        </w:rPr>
        <w:t>6</w:t>
      </w:r>
      <w:r w:rsidR="005D3B0E" w:rsidRPr="005D3B0E">
        <w:rPr>
          <w:szCs w:val="24"/>
          <w:lang w:eastAsia="zh-CN"/>
        </w:rPr>
        <w:t xml:space="preserve"> </w:t>
      </w:r>
      <w:r w:rsidR="005D3B0E">
        <w:rPr>
          <w:szCs w:val="24"/>
          <w:lang w:eastAsia="zh-CN"/>
        </w:rPr>
        <w:t>FINAL:2019</w:t>
      </w:r>
      <w:r>
        <w:rPr>
          <w:iCs/>
          <w:color w:val="000000"/>
          <w:szCs w:val="24"/>
          <w:lang w:val="en-GB"/>
        </w:rPr>
        <w:t xml:space="preserve"> </w:t>
      </w:r>
      <w:hyperlink r:id="rId21" w:history="1">
        <w:r>
          <w:rPr>
            <w:i/>
            <w:color w:val="000000"/>
          </w:rPr>
          <w:t>Clinical Evaluation</w:t>
        </w:r>
      </w:hyperlink>
      <w:r>
        <w:rPr>
          <w:i/>
          <w:iCs/>
          <w:color w:val="000000"/>
          <w:szCs w:val="24"/>
        </w:rPr>
        <w:t>)</w:t>
      </w:r>
      <w:r>
        <w:rPr>
          <w:iCs/>
          <w:color w:val="000000"/>
          <w:szCs w:val="24"/>
        </w:rPr>
        <w:t>.</w:t>
      </w:r>
      <w:r>
        <w:t xml:space="preserve"> </w:t>
      </w:r>
    </w:p>
    <w:p w14:paraId="014E589F" w14:textId="77777777" w:rsidR="00555EB9" w:rsidRDefault="00555EB9">
      <w:pPr>
        <w:ind w:left="1011"/>
        <w:rPr>
          <w:color w:val="0000FF"/>
        </w:rPr>
      </w:pPr>
    </w:p>
    <w:p w14:paraId="35AA6B9B" w14:textId="77777777" w:rsidR="00555EB9" w:rsidRDefault="009B5F54">
      <w:pPr>
        <w:tabs>
          <w:tab w:val="left" w:pos="0"/>
        </w:tabs>
        <w:rPr>
          <w:rFonts w:eastAsia="Wingdings"/>
          <w:color w:val="000000"/>
          <w:szCs w:val="24"/>
          <w:lang w:val="en-GB" w:eastAsia="zh-CN"/>
        </w:rPr>
      </w:pPr>
      <w:r>
        <w:rPr>
          <w:rFonts w:eastAsia="Wingdings"/>
          <w:color w:val="000000"/>
          <w:szCs w:val="24"/>
          <w:lang w:eastAsia="zh-CN"/>
        </w:rPr>
        <w:t>Key</w:t>
      </w:r>
      <w:r>
        <w:rPr>
          <w:rFonts w:eastAsia="Wingdings"/>
          <w:color w:val="000000"/>
          <w:szCs w:val="24"/>
          <w:lang w:val="en-GB" w:eastAsia="zh-CN"/>
        </w:rPr>
        <w:t xml:space="preserve"> considerations for clarifying</w:t>
      </w:r>
      <w:r>
        <w:rPr>
          <w:rFonts w:eastAsia="Wingdings" w:hint="eastAsia"/>
          <w:color w:val="000000"/>
          <w:szCs w:val="24"/>
          <w:lang w:val="en-GB" w:eastAsia="zh-CN"/>
        </w:rPr>
        <w:t xml:space="preserve"> the need for clinical investigations </w:t>
      </w:r>
      <w:r>
        <w:rPr>
          <w:rFonts w:eastAsia="Wingdings"/>
          <w:color w:val="000000"/>
          <w:szCs w:val="24"/>
          <w:lang w:val="en-GB" w:eastAsia="zh-CN"/>
        </w:rPr>
        <w:t>are</w:t>
      </w:r>
      <w:r>
        <w:rPr>
          <w:rFonts w:eastAsia="Wingdings" w:hint="eastAsia"/>
          <w:color w:val="000000"/>
          <w:szCs w:val="24"/>
          <w:lang w:val="en-GB" w:eastAsia="zh-CN"/>
        </w:rPr>
        <w:t xml:space="preserve"> illustrated by </w:t>
      </w:r>
      <w:r>
        <w:rPr>
          <w:rFonts w:eastAsia="Wingdings"/>
          <w:color w:val="000000"/>
          <w:szCs w:val="24"/>
          <w:lang w:val="en-GB" w:eastAsia="zh-CN"/>
        </w:rPr>
        <w:t>the</w:t>
      </w:r>
      <w:r>
        <w:rPr>
          <w:rFonts w:eastAsia="Wingdings" w:hint="eastAsia"/>
          <w:color w:val="000000"/>
          <w:szCs w:val="24"/>
          <w:lang w:val="en-GB" w:eastAsia="zh-CN"/>
        </w:rPr>
        <w:t xml:space="preserve"> flowchart </w:t>
      </w:r>
      <w:r>
        <w:rPr>
          <w:rFonts w:eastAsia="Wingdings"/>
          <w:color w:val="000000"/>
          <w:szCs w:val="24"/>
          <w:lang w:val="en-GB" w:eastAsia="zh-CN"/>
        </w:rPr>
        <w:t>i</w:t>
      </w:r>
      <w:r>
        <w:rPr>
          <w:rFonts w:eastAsia="Wingdings" w:hint="eastAsia"/>
          <w:color w:val="000000"/>
          <w:szCs w:val="24"/>
          <w:lang w:val="en-GB" w:eastAsia="zh-CN"/>
        </w:rPr>
        <w:t>n Figure 1.</w:t>
      </w:r>
    </w:p>
    <w:p w14:paraId="65EEFAB7" w14:textId="080AF63E" w:rsidR="00555EB9" w:rsidRDefault="00555EB9">
      <w:pPr>
        <w:rPr>
          <w:b/>
        </w:rPr>
      </w:pPr>
    </w:p>
    <w:p w14:paraId="715AAEC6" w14:textId="77777777" w:rsidR="00DE68FC" w:rsidRDefault="00DE68FC" w:rsidP="00DE68FC">
      <w:pPr>
        <w:jc w:val="center"/>
        <w:rPr>
          <w:lang w:eastAsia="zh-CN"/>
        </w:rPr>
      </w:pPr>
      <w:r>
        <w:rPr>
          <w:noProof/>
          <w:lang w:val="en-AU" w:eastAsia="en-AU"/>
        </w:rPr>
        <w:drawing>
          <wp:inline distT="0" distB="0" distL="0" distR="0" wp14:anchorId="13AEE4EF" wp14:editId="37914E56">
            <wp:extent cx="5943600" cy="56870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3 图.jpg"/>
                    <pic:cNvPicPr/>
                  </pic:nvPicPr>
                  <pic:blipFill>
                    <a:blip r:embed="rId22">
                      <a:extLst>
                        <a:ext uri="{28A0092B-C50C-407E-A947-70E740481C1C}">
                          <a14:useLocalDpi xmlns:a14="http://schemas.microsoft.com/office/drawing/2010/main" val="0"/>
                        </a:ext>
                      </a:extLst>
                    </a:blip>
                    <a:stretch>
                      <a:fillRect/>
                    </a:stretch>
                  </pic:blipFill>
                  <pic:spPr>
                    <a:xfrm>
                      <a:off x="0" y="0"/>
                      <a:ext cx="5943600" cy="5687060"/>
                    </a:xfrm>
                    <a:prstGeom prst="rect">
                      <a:avLst/>
                    </a:prstGeom>
                  </pic:spPr>
                </pic:pic>
              </a:graphicData>
            </a:graphic>
          </wp:inline>
        </w:drawing>
      </w:r>
    </w:p>
    <w:p w14:paraId="3EEFE19C" w14:textId="77777777" w:rsidR="00DE68FC" w:rsidRDefault="00DE68FC" w:rsidP="00DE68FC">
      <w:pPr>
        <w:jc w:val="center"/>
        <w:rPr>
          <w:lang w:eastAsia="zh-CN"/>
        </w:rPr>
      </w:pPr>
      <w:r>
        <w:rPr>
          <w:lang w:eastAsia="zh-CN"/>
        </w:rPr>
        <w:t>Figure 1 Key considerations for clarifying the need for clinical investigations.</w:t>
      </w:r>
    </w:p>
    <w:p w14:paraId="27956F55" w14:textId="0E772A63" w:rsidR="00DE68FC" w:rsidRDefault="00DE68FC">
      <w:pPr>
        <w:rPr>
          <w:b/>
        </w:rPr>
      </w:pPr>
    </w:p>
    <w:p w14:paraId="0CA1C766" w14:textId="77777777" w:rsidR="00DE68FC" w:rsidRDefault="00DE68FC">
      <w:pPr>
        <w:rPr>
          <w:b/>
        </w:rPr>
      </w:pPr>
    </w:p>
    <w:p w14:paraId="1C1528E2" w14:textId="77777777" w:rsidR="00555EB9" w:rsidRDefault="009B5F54">
      <w:r>
        <w:t>Where uncertainty exists as to whether current data are sufficient to demonstrate conformity with the Essential Principles, discussion with the relevant regulatory authorities or conformity assessment bodies may be appropriate.</w:t>
      </w:r>
    </w:p>
    <w:p w14:paraId="72CE16E1" w14:textId="77777777" w:rsidR="00555EB9" w:rsidRDefault="00555EB9"/>
    <w:p w14:paraId="67509917" w14:textId="2A3E10FC" w:rsidR="00555EB9" w:rsidRDefault="009B5F54">
      <w:r>
        <w:lastRenderedPageBreak/>
        <w:t xml:space="preserve">Note: This exercise is applicable for the introduction of a new </w:t>
      </w:r>
      <w:r>
        <w:rPr>
          <w:rFonts w:hint="eastAsia"/>
          <w:lang w:eastAsia="zh-CN"/>
        </w:rPr>
        <w:t xml:space="preserve">medical </w:t>
      </w:r>
      <w:r>
        <w:t>device as well as for planned changes of a device, its intended use and/or claims.</w:t>
      </w:r>
    </w:p>
    <w:p w14:paraId="6EEE20E4" w14:textId="268668ED" w:rsidR="00E3415A" w:rsidRDefault="00E3415A">
      <w:pPr>
        <w:outlineLvl w:val="0"/>
        <w:rPr>
          <w:b/>
          <w:sz w:val="28"/>
          <w:szCs w:val="28"/>
        </w:rPr>
      </w:pPr>
    </w:p>
    <w:p w14:paraId="11504707" w14:textId="35C8BFE0" w:rsidR="00555EB9" w:rsidRDefault="002C2F97">
      <w:pPr>
        <w:outlineLvl w:val="0"/>
        <w:rPr>
          <w:b/>
          <w:strike/>
          <w:sz w:val="28"/>
          <w:szCs w:val="28"/>
        </w:rPr>
      </w:pPr>
      <w:bookmarkStart w:id="14" w:name="_Toc21544255"/>
      <w:r>
        <w:rPr>
          <w:b/>
          <w:sz w:val="28"/>
          <w:szCs w:val="28"/>
        </w:rPr>
        <w:t>6.0</w:t>
      </w:r>
      <w:r w:rsidR="009B5F54">
        <w:rPr>
          <w:b/>
          <w:sz w:val="28"/>
          <w:szCs w:val="28"/>
        </w:rPr>
        <w:t xml:space="preserve"> General Principles of Clinical Investigation Design</w:t>
      </w:r>
      <w:bookmarkEnd w:id="14"/>
      <w:r w:rsidR="009B5F54">
        <w:rPr>
          <w:b/>
          <w:sz w:val="28"/>
          <w:szCs w:val="28"/>
        </w:rPr>
        <w:t xml:space="preserve"> </w:t>
      </w:r>
    </w:p>
    <w:p w14:paraId="4FC18ACB" w14:textId="77777777" w:rsidR="00555EB9" w:rsidRDefault="00555EB9"/>
    <w:p w14:paraId="4EF670E0" w14:textId="77777777" w:rsidR="00555EB9" w:rsidRDefault="009B5F54">
      <w:r>
        <w:t>Any clinical investigation must:</w:t>
      </w:r>
    </w:p>
    <w:p w14:paraId="5F552720" w14:textId="77777777" w:rsidR="00555EB9" w:rsidRDefault="00555EB9">
      <w:pPr>
        <w:ind w:hanging="360"/>
      </w:pPr>
    </w:p>
    <w:p w14:paraId="60CAEA16" w14:textId="77777777" w:rsidR="00555EB9" w:rsidRDefault="009B5F54">
      <w:pPr>
        <w:numPr>
          <w:ilvl w:val="0"/>
          <w:numId w:val="4"/>
        </w:numPr>
        <w:ind w:hanging="360"/>
      </w:pPr>
      <w:r>
        <w:t>be based on the results of the clinical evaluation process;</w:t>
      </w:r>
    </w:p>
    <w:p w14:paraId="63834AAC" w14:textId="77777777" w:rsidR="00555EB9" w:rsidRDefault="009B5F54">
      <w:pPr>
        <w:numPr>
          <w:ilvl w:val="0"/>
          <w:numId w:val="4"/>
        </w:numPr>
        <w:ind w:hanging="360"/>
      </w:pPr>
      <w:r>
        <w:t>follow a proper risk management procedure to avoid undue risks;</w:t>
      </w:r>
    </w:p>
    <w:p w14:paraId="3ED48BEA" w14:textId="77777777" w:rsidR="00555EB9" w:rsidRDefault="009B5F54">
      <w:pPr>
        <w:numPr>
          <w:ilvl w:val="0"/>
          <w:numId w:val="4"/>
        </w:numPr>
        <w:ind w:hanging="360"/>
      </w:pPr>
      <w:r>
        <w:t>be compliant with all relevant legal and regulatory requirements;</w:t>
      </w:r>
    </w:p>
    <w:p w14:paraId="7B086B44" w14:textId="77777777" w:rsidR="00555EB9" w:rsidRDefault="009B5F54">
      <w:pPr>
        <w:numPr>
          <w:ilvl w:val="0"/>
          <w:numId w:val="4"/>
        </w:numPr>
        <w:ind w:hanging="360"/>
      </w:pPr>
      <w:r>
        <w:t xml:space="preserve">be appropriately planned, conducted, </w:t>
      </w:r>
      <w:proofErr w:type="spellStart"/>
      <w:r>
        <w:t>analysed</w:t>
      </w:r>
      <w:proofErr w:type="spellEnd"/>
      <w:r>
        <w:t xml:space="preserve"> and reported;</w:t>
      </w:r>
    </w:p>
    <w:p w14:paraId="0D08190D" w14:textId="77777777" w:rsidR="00555EB9" w:rsidRDefault="009B5F54">
      <w:pPr>
        <w:numPr>
          <w:ilvl w:val="0"/>
          <w:numId w:val="4"/>
        </w:numPr>
        <w:ind w:hanging="360"/>
      </w:pPr>
      <w:r>
        <w:t>follow appropriate ethical principles (see Section 7).</w:t>
      </w:r>
    </w:p>
    <w:p w14:paraId="4B4D9036" w14:textId="77777777" w:rsidR="00480B13" w:rsidRDefault="00480B13"/>
    <w:p w14:paraId="7890A88F" w14:textId="684C2EBC" w:rsidR="00555EB9" w:rsidRDefault="009B5F54" w:rsidP="00E3415A">
      <w:r>
        <w:t xml:space="preserve">The design of the clinical investigation, including the study objectives and statistical considerations, should provide the clinical data necessary to address the residual risks, </w:t>
      </w:r>
      <w:r w:rsidR="00480B13">
        <w:t>including aspects</w:t>
      </w:r>
      <w:r>
        <w:t xml:space="preserve"> of clinical performance. Some factors that may influence the extent of data requirements include, but are not limited to, the following:</w:t>
      </w:r>
    </w:p>
    <w:p w14:paraId="609F6DC2" w14:textId="77777777" w:rsidR="00555EB9" w:rsidRDefault="009B5F54">
      <w:pPr>
        <w:pStyle w:val="StandardWeb"/>
        <w:numPr>
          <w:ilvl w:val="0"/>
          <w:numId w:val="5"/>
        </w:numPr>
      </w:pPr>
      <w:r>
        <w:t xml:space="preserve">type of </w:t>
      </w:r>
      <w:r>
        <w:rPr>
          <w:rFonts w:hint="eastAsia"/>
          <w:lang w:eastAsia="zh-CN"/>
        </w:rPr>
        <w:t xml:space="preserve">medical </w:t>
      </w:r>
      <w:r>
        <w:t>device and/or regulatory classification;</w:t>
      </w:r>
    </w:p>
    <w:p w14:paraId="5F429666" w14:textId="77777777" w:rsidR="00555EB9" w:rsidRDefault="009B5F54">
      <w:pPr>
        <w:pStyle w:val="StandardWeb"/>
        <w:numPr>
          <w:ilvl w:val="0"/>
          <w:numId w:val="5"/>
        </w:numPr>
      </w:pPr>
      <w:r>
        <w:t>novel technology/relevant previous experience;</w:t>
      </w:r>
    </w:p>
    <w:p w14:paraId="7B268CF5" w14:textId="2ED9FE75" w:rsidR="00555EB9" w:rsidRDefault="009B5F54" w:rsidP="00DE68FC">
      <w:pPr>
        <w:pStyle w:val="StandardWeb"/>
        <w:numPr>
          <w:ilvl w:val="0"/>
          <w:numId w:val="5"/>
        </w:numPr>
      </w:pPr>
      <w:r>
        <w:t>clinical application/indications;</w:t>
      </w:r>
    </w:p>
    <w:p w14:paraId="10FA7F21" w14:textId="7BCD0DA7" w:rsidR="00555EB9" w:rsidRDefault="009B5F54">
      <w:pPr>
        <w:pStyle w:val="StandardWeb"/>
        <w:numPr>
          <w:ilvl w:val="0"/>
          <w:numId w:val="5"/>
        </w:numPr>
      </w:pPr>
      <w:r>
        <w:t xml:space="preserve">nature of exposure to the product </w:t>
      </w:r>
      <w:r w:rsidR="00900CD7">
        <w:t>(</w:t>
      </w:r>
      <w:r>
        <w:t>e.g. surface contact, implantation, ingestion</w:t>
      </w:r>
      <w:r w:rsidR="00900CD7">
        <w:t>)</w:t>
      </w:r>
    </w:p>
    <w:p w14:paraId="74EBCCA8" w14:textId="525B2C8C" w:rsidR="00555EB9" w:rsidRDefault="009B5F54">
      <w:pPr>
        <w:pStyle w:val="StandardWeb"/>
        <w:numPr>
          <w:ilvl w:val="0"/>
          <w:numId w:val="5"/>
        </w:numPr>
      </w:pPr>
      <w:r>
        <w:t xml:space="preserve">risks inherent in the use of the product </w:t>
      </w:r>
      <w:r w:rsidR="00900CD7">
        <w:t>(</w:t>
      </w:r>
      <w:r>
        <w:t>e.g. risk associated with the procedure</w:t>
      </w:r>
      <w:r w:rsidR="00900CD7">
        <w:t>)</w:t>
      </w:r>
    </w:p>
    <w:p w14:paraId="151747AA" w14:textId="0EC8E8FA" w:rsidR="00555EB9" w:rsidRDefault="009B5F54">
      <w:pPr>
        <w:pStyle w:val="StandardWeb"/>
        <w:numPr>
          <w:ilvl w:val="0"/>
          <w:numId w:val="5"/>
        </w:numPr>
      </w:pPr>
      <w:r>
        <w:t xml:space="preserve">performance claims made in the </w:t>
      </w:r>
      <w:r>
        <w:rPr>
          <w:rFonts w:hint="eastAsia"/>
          <w:lang w:eastAsia="zh-CN"/>
        </w:rPr>
        <w:t xml:space="preserve">medical </w:t>
      </w:r>
      <w:r>
        <w:t>device labeling (including instructions for use) and/or promotional materials</w:t>
      </w:r>
    </w:p>
    <w:p w14:paraId="3924F756" w14:textId="4C9E8ACC" w:rsidR="00555EB9" w:rsidRDefault="009B5F54">
      <w:pPr>
        <w:pStyle w:val="StandardWeb"/>
        <w:numPr>
          <w:ilvl w:val="0"/>
          <w:numId w:val="5"/>
        </w:numPr>
      </w:pPr>
      <w:r>
        <w:t>component materials or substances</w:t>
      </w:r>
    </w:p>
    <w:p w14:paraId="5A316905" w14:textId="793F94FD" w:rsidR="00555EB9" w:rsidRDefault="009B5F54">
      <w:pPr>
        <w:pStyle w:val="StandardWeb"/>
        <w:numPr>
          <w:ilvl w:val="0"/>
          <w:numId w:val="5"/>
        </w:numPr>
      </w:pPr>
      <w:r>
        <w:t>disease process (including severity) and patient population being treated</w:t>
      </w:r>
    </w:p>
    <w:p w14:paraId="3496C94C" w14:textId="749F4C67" w:rsidR="00555EB9" w:rsidRDefault="009B5F54">
      <w:pPr>
        <w:pStyle w:val="StandardWeb"/>
        <w:numPr>
          <w:ilvl w:val="0"/>
          <w:numId w:val="5"/>
        </w:numPr>
      </w:pPr>
      <w:r>
        <w:t>demographic, geographic and cultural considerations (e.g. age, ethnicity, gender</w:t>
      </w:r>
      <w:r w:rsidR="00C33C62">
        <w:t>)</w:t>
      </w:r>
    </w:p>
    <w:p w14:paraId="17B53257" w14:textId="1E430BC6" w:rsidR="00555EB9" w:rsidRDefault="009B5F54">
      <w:pPr>
        <w:pStyle w:val="StandardWeb"/>
        <w:numPr>
          <w:ilvl w:val="0"/>
          <w:numId w:val="5"/>
        </w:numPr>
      </w:pPr>
      <w:r>
        <w:t>potential impact of device failure</w:t>
      </w:r>
    </w:p>
    <w:p w14:paraId="1D590342" w14:textId="0D276441" w:rsidR="00555EB9" w:rsidRDefault="009B5F54">
      <w:pPr>
        <w:pStyle w:val="StandardWeb"/>
        <w:numPr>
          <w:ilvl w:val="0"/>
          <w:numId w:val="5"/>
        </w:numPr>
      </w:pPr>
      <w:r>
        <w:t xml:space="preserve">period of exposure to the </w:t>
      </w:r>
      <w:r>
        <w:rPr>
          <w:rFonts w:hint="eastAsia"/>
          <w:lang w:eastAsia="zh-CN"/>
        </w:rPr>
        <w:t xml:space="preserve">medical </w:t>
      </w:r>
      <w:r>
        <w:t>device</w:t>
      </w:r>
    </w:p>
    <w:p w14:paraId="7ADEB1AC" w14:textId="3B3DC35E" w:rsidR="00555EB9" w:rsidRDefault="009B5F54">
      <w:pPr>
        <w:pStyle w:val="StandardWeb"/>
        <w:numPr>
          <w:ilvl w:val="0"/>
          <w:numId w:val="5"/>
        </w:numPr>
      </w:pPr>
      <w:r>
        <w:t xml:space="preserve">expected lifetime of the </w:t>
      </w:r>
      <w:r>
        <w:rPr>
          <w:rFonts w:hint="eastAsia"/>
          <w:lang w:eastAsia="zh-CN"/>
        </w:rPr>
        <w:t xml:space="preserve">medical </w:t>
      </w:r>
      <w:r>
        <w:t>device</w:t>
      </w:r>
    </w:p>
    <w:p w14:paraId="4C530440" w14:textId="4B7CB800" w:rsidR="00555EB9" w:rsidRDefault="009B5F54">
      <w:pPr>
        <w:pStyle w:val="StandardWeb"/>
        <w:numPr>
          <w:ilvl w:val="0"/>
          <w:numId w:val="5"/>
        </w:numPr>
      </w:pPr>
      <w:r>
        <w:t>availability of alternative treatments and current standard of care</w:t>
      </w:r>
    </w:p>
    <w:p w14:paraId="27D6F354" w14:textId="0AABC373" w:rsidR="00555EB9" w:rsidRDefault="009B5F54">
      <w:pPr>
        <w:pStyle w:val="StandardWeb"/>
        <w:numPr>
          <w:ilvl w:val="0"/>
          <w:numId w:val="5"/>
        </w:numPr>
      </w:pPr>
      <w:r>
        <w:t>ethical considerations</w:t>
      </w:r>
    </w:p>
    <w:p w14:paraId="7C419C74" w14:textId="77777777" w:rsidR="00555EB9" w:rsidRDefault="009B5F54">
      <w:pPr>
        <w:pStyle w:val="StandardWeb"/>
        <w:rPr>
          <w:b/>
          <w:i/>
        </w:rPr>
      </w:pPr>
      <w:r>
        <w:rPr>
          <w:b/>
          <w:i/>
        </w:rPr>
        <w:t xml:space="preserve">Considerations for </w:t>
      </w:r>
      <w:r>
        <w:rPr>
          <w:rFonts w:hint="eastAsia"/>
          <w:b/>
          <w:i/>
          <w:lang w:eastAsia="zh-CN"/>
        </w:rPr>
        <w:t xml:space="preserve">Medical </w:t>
      </w:r>
      <w:r>
        <w:rPr>
          <w:b/>
          <w:i/>
        </w:rPr>
        <w:t xml:space="preserve">Device Study Protocols </w:t>
      </w:r>
    </w:p>
    <w:p w14:paraId="7C1BFE28" w14:textId="77777777" w:rsidR="00555EB9" w:rsidRDefault="009B5F54">
      <w:pPr>
        <w:pStyle w:val="StandardWeb"/>
      </w:pPr>
      <w:r>
        <w:t>Factors needing consideration in study protocols include:</w:t>
      </w:r>
    </w:p>
    <w:p w14:paraId="6AA10B36" w14:textId="3E056684" w:rsidR="0060446C" w:rsidRDefault="0060446C" w:rsidP="0060446C">
      <w:pPr>
        <w:pStyle w:val="StandardWeb"/>
        <w:numPr>
          <w:ilvl w:val="0"/>
          <w:numId w:val="6"/>
        </w:numPr>
        <w:ind w:left="720"/>
      </w:pPr>
      <w:r>
        <w:t>clear statement of objectives</w:t>
      </w:r>
    </w:p>
    <w:p w14:paraId="6929ABFB" w14:textId="27CE00A1" w:rsidR="008233D4" w:rsidRDefault="008233D4">
      <w:pPr>
        <w:pStyle w:val="StandardWeb"/>
        <w:numPr>
          <w:ilvl w:val="0"/>
          <w:numId w:val="6"/>
        </w:numPr>
        <w:ind w:left="720"/>
      </w:pPr>
      <w:r>
        <w:rPr>
          <w:lang w:eastAsia="zh-CN"/>
        </w:rPr>
        <w:t>minimization of risk to subjects and those involved with the conduct of the investigation</w:t>
      </w:r>
    </w:p>
    <w:p w14:paraId="6186F2FE" w14:textId="7A75D862" w:rsidR="0060446C" w:rsidRDefault="0060446C">
      <w:pPr>
        <w:pStyle w:val="StandardWeb"/>
        <w:numPr>
          <w:ilvl w:val="0"/>
          <w:numId w:val="6"/>
        </w:numPr>
        <w:ind w:left="720"/>
      </w:pPr>
      <w:r>
        <w:t>adverse event definitions and reporting</w:t>
      </w:r>
    </w:p>
    <w:p w14:paraId="5EB44F87" w14:textId="41EAE810" w:rsidR="00555EB9" w:rsidRDefault="00900CD7">
      <w:pPr>
        <w:pStyle w:val="StandardWeb"/>
        <w:numPr>
          <w:ilvl w:val="0"/>
          <w:numId w:val="6"/>
        </w:numPr>
        <w:ind w:left="720"/>
      </w:pPr>
      <w:r>
        <w:t>study e</w:t>
      </w:r>
      <w:r w:rsidR="009B5F54">
        <w:t xml:space="preserve">ndpoints </w:t>
      </w:r>
    </w:p>
    <w:p w14:paraId="465BE148" w14:textId="77777777" w:rsidR="00555EB9" w:rsidRDefault="009B5F54">
      <w:pPr>
        <w:pStyle w:val="StandardWeb"/>
        <w:numPr>
          <w:ilvl w:val="0"/>
          <w:numId w:val="6"/>
        </w:numPr>
        <w:ind w:left="720"/>
      </w:pPr>
      <w:r>
        <w:t>appropriate subject population(s)</w:t>
      </w:r>
    </w:p>
    <w:p w14:paraId="4DDE6EEE" w14:textId="77CAD9F8" w:rsidR="00555EB9" w:rsidRDefault="009B5F54">
      <w:pPr>
        <w:pStyle w:val="StandardWeb"/>
        <w:numPr>
          <w:ilvl w:val="0"/>
          <w:numId w:val="6"/>
        </w:numPr>
        <w:ind w:left="720"/>
        <w:rPr>
          <w:u w:val="single"/>
        </w:rPr>
      </w:pPr>
      <w:r>
        <w:t>minimization</w:t>
      </w:r>
      <w:r w:rsidR="00900CD7">
        <w:t xml:space="preserve"> </w:t>
      </w:r>
      <w:r>
        <w:t>of bias (e.g. randomization,</w:t>
      </w:r>
      <w:r>
        <w:rPr>
          <w:rFonts w:hint="eastAsia"/>
          <w:lang w:eastAsia="zh-CN"/>
        </w:rPr>
        <w:t xml:space="preserve"> </w:t>
      </w:r>
      <w:r>
        <w:t>blinding/masking, concealment of allocation</w:t>
      </w:r>
      <w:r>
        <w:rPr>
          <w:u w:val="single"/>
        </w:rPr>
        <w:t>)</w:t>
      </w:r>
    </w:p>
    <w:p w14:paraId="69529040" w14:textId="24D06653" w:rsidR="00555EB9" w:rsidRDefault="009B5F54">
      <w:pPr>
        <w:pStyle w:val="StandardWeb"/>
        <w:numPr>
          <w:ilvl w:val="0"/>
          <w:numId w:val="6"/>
        </w:numPr>
        <w:ind w:left="720"/>
      </w:pPr>
      <w:r>
        <w:t xml:space="preserve">identification of confounding factors (e.g. concurrent </w:t>
      </w:r>
      <w:r w:rsidR="00900CD7">
        <w:t>therapies</w:t>
      </w:r>
      <w:r>
        <w:t>, co-morbidities)</w:t>
      </w:r>
    </w:p>
    <w:p w14:paraId="1F74E7C1" w14:textId="0FD62C14" w:rsidR="00555EB9" w:rsidRDefault="009B5F54">
      <w:pPr>
        <w:pStyle w:val="StandardWeb"/>
        <w:numPr>
          <w:ilvl w:val="0"/>
          <w:numId w:val="6"/>
        </w:numPr>
        <w:ind w:left="720"/>
      </w:pPr>
      <w:r>
        <w:lastRenderedPageBreak/>
        <w:t>choice of appropriate controls (e.g. active control, sham, historical)</w:t>
      </w:r>
    </w:p>
    <w:p w14:paraId="62EB9E4B" w14:textId="2665C419" w:rsidR="00555EB9" w:rsidRDefault="009B5F54">
      <w:pPr>
        <w:pStyle w:val="StandardWeb"/>
        <w:numPr>
          <w:ilvl w:val="0"/>
          <w:numId w:val="6"/>
        </w:numPr>
        <w:ind w:left="720"/>
      </w:pPr>
      <w:r>
        <w:t>design configuration (e.g. parallel, crossover, cohort study, single arm)</w:t>
      </w:r>
    </w:p>
    <w:p w14:paraId="04249285" w14:textId="2920BBD7" w:rsidR="00555EB9" w:rsidRDefault="009B5F54">
      <w:pPr>
        <w:pStyle w:val="StandardWeb"/>
        <w:numPr>
          <w:ilvl w:val="0"/>
          <w:numId w:val="6"/>
        </w:numPr>
        <w:ind w:left="720"/>
      </w:pPr>
      <w:r>
        <w:t>type of comparison (e.g.</w:t>
      </w:r>
      <w:r w:rsidR="00900CD7">
        <w:t xml:space="preserve"> </w:t>
      </w:r>
      <w:r>
        <w:t>superiority, non-inferiority, equivalence)</w:t>
      </w:r>
    </w:p>
    <w:p w14:paraId="0A15A1AE" w14:textId="67D2E8E4" w:rsidR="00555EB9" w:rsidRDefault="009B5F54">
      <w:pPr>
        <w:pStyle w:val="StandardWeb"/>
        <w:numPr>
          <w:ilvl w:val="0"/>
          <w:numId w:val="6"/>
        </w:numPr>
        <w:ind w:left="720"/>
      </w:pPr>
      <w:r>
        <w:t>follow-up duration and monitoring</w:t>
      </w:r>
    </w:p>
    <w:p w14:paraId="7AE84DE0" w14:textId="5400163B" w:rsidR="00555EB9" w:rsidRDefault="009B5F54">
      <w:pPr>
        <w:pStyle w:val="StandardWeb"/>
      </w:pPr>
      <w:r>
        <w:t xml:space="preserve">In designing the study, statistical considerations should be prospectively specified and be based on sound scientific principles and methodology. </w:t>
      </w:r>
      <w:r w:rsidR="00357F4F">
        <w:t>D</w:t>
      </w:r>
      <w:r>
        <w:t>evelop</w:t>
      </w:r>
      <w:r w:rsidR="00357F4F">
        <w:t>ment of</w:t>
      </w:r>
      <w:r>
        <w:t xml:space="preserve"> a statistical plan </w:t>
      </w:r>
      <w:r w:rsidR="00357F4F">
        <w:t>should</w:t>
      </w:r>
      <w:r>
        <w:t xml:space="preserve"> include</w:t>
      </w:r>
      <w:r w:rsidR="00357F4F">
        <w:t xml:space="preserve"> </w:t>
      </w:r>
      <w:r>
        <w:t xml:space="preserve">consideration of the following: </w:t>
      </w:r>
    </w:p>
    <w:p w14:paraId="3D007706" w14:textId="77777777" w:rsidR="00555EB9" w:rsidRDefault="009B5F54">
      <w:pPr>
        <w:pStyle w:val="StandardWeb"/>
        <w:numPr>
          <w:ilvl w:val="1"/>
          <w:numId w:val="7"/>
        </w:numPr>
        <w:ind w:left="720"/>
      </w:pPr>
      <w:r>
        <w:t>clinically relevant endpoints</w:t>
      </w:r>
    </w:p>
    <w:p w14:paraId="55E2E357" w14:textId="1C6D957D" w:rsidR="00555EB9" w:rsidRDefault="009B5F54">
      <w:pPr>
        <w:pStyle w:val="StandardWeb"/>
        <w:numPr>
          <w:ilvl w:val="1"/>
          <w:numId w:val="7"/>
        </w:numPr>
        <w:ind w:left="720"/>
      </w:pPr>
      <w:r>
        <w:rPr>
          <w:rFonts w:hint="eastAsia"/>
          <w:lang w:eastAsia="zh-CN"/>
        </w:rPr>
        <w:t>a</w:t>
      </w:r>
      <w:r>
        <w:rPr>
          <w:lang w:eastAsia="zh-CN"/>
        </w:rPr>
        <w:t>nalysis population</w:t>
      </w:r>
    </w:p>
    <w:p w14:paraId="7C38695A" w14:textId="77777777" w:rsidR="00555EB9" w:rsidRDefault="009B5F54">
      <w:pPr>
        <w:pStyle w:val="StandardWeb"/>
        <w:numPr>
          <w:ilvl w:val="1"/>
          <w:numId w:val="7"/>
        </w:numPr>
        <w:ind w:left="720"/>
      </w:pPr>
      <w:r>
        <w:t>statistical significance levels, power</w:t>
      </w:r>
    </w:p>
    <w:p w14:paraId="1B2E9F5A" w14:textId="77777777" w:rsidR="00555EB9" w:rsidRDefault="009B5F54">
      <w:pPr>
        <w:pStyle w:val="StandardWeb"/>
        <w:numPr>
          <w:ilvl w:val="1"/>
          <w:numId w:val="7"/>
        </w:numPr>
        <w:ind w:left="720"/>
      </w:pPr>
      <w:r>
        <w:t>sample size calculation and justification</w:t>
      </w:r>
    </w:p>
    <w:p w14:paraId="66A40AB2" w14:textId="330C8D1D" w:rsidR="00555EB9" w:rsidRDefault="009B5F54">
      <w:pPr>
        <w:pStyle w:val="StandardWeb"/>
        <w:numPr>
          <w:ilvl w:val="1"/>
          <w:numId w:val="7"/>
        </w:numPr>
        <w:ind w:left="720"/>
      </w:pPr>
      <w:r>
        <w:t>analysis methodology</w:t>
      </w:r>
    </w:p>
    <w:p w14:paraId="7639BB20" w14:textId="1FD693AB" w:rsidR="00555EB9" w:rsidRDefault="009B5F54">
      <w:pPr>
        <w:pStyle w:val="StandardWeb"/>
        <w:numPr>
          <w:ilvl w:val="1"/>
          <w:numId w:val="7"/>
        </w:numPr>
        <w:ind w:left="720"/>
      </w:pPr>
      <w:r>
        <w:t>management of potential confounding factors</w:t>
      </w:r>
    </w:p>
    <w:p w14:paraId="1FCCB37D" w14:textId="42BAEAB7" w:rsidR="00555EB9" w:rsidRDefault="009B5F54">
      <w:pPr>
        <w:pStyle w:val="StandardWeb"/>
        <w:numPr>
          <w:ilvl w:val="1"/>
          <w:numId w:val="7"/>
        </w:numPr>
        <w:ind w:left="720"/>
      </w:pPr>
      <w:r>
        <w:t>procedures for multiplicity control and adjustment of error probabilities</w:t>
      </w:r>
    </w:p>
    <w:p w14:paraId="482BB057" w14:textId="69A7F2D7" w:rsidR="00555EB9" w:rsidRDefault="00592AB4">
      <w:pPr>
        <w:pStyle w:val="StandardWeb"/>
        <w:numPr>
          <w:ilvl w:val="1"/>
          <w:numId w:val="7"/>
        </w:numPr>
        <w:ind w:left="720"/>
      </w:pPr>
      <w:r>
        <w:t xml:space="preserve">procedures for </w:t>
      </w:r>
      <w:r w:rsidR="009B5F54">
        <w:t>handling of missing, unused or spurious data, including drop-outs</w:t>
      </w:r>
    </w:p>
    <w:p w14:paraId="4F18CA4D" w14:textId="591F76A0" w:rsidR="00555EB9" w:rsidRDefault="009B5F54">
      <w:pPr>
        <w:pStyle w:val="StandardWeb"/>
        <w:numPr>
          <w:ilvl w:val="1"/>
          <w:numId w:val="7"/>
        </w:numPr>
        <w:ind w:left="720"/>
      </w:pPr>
      <w:r>
        <w:t xml:space="preserve">procedures for </w:t>
      </w:r>
      <w:r w:rsidR="00592AB4">
        <w:t>handling</w:t>
      </w:r>
      <w:r>
        <w:t xml:space="preserve"> deviations from the original statistical analysis plan</w:t>
      </w:r>
    </w:p>
    <w:p w14:paraId="5D57495F" w14:textId="62E07A28" w:rsidR="00592AB4" w:rsidRDefault="00592AB4" w:rsidP="00E3415A">
      <w:pPr>
        <w:pStyle w:val="StandardWeb"/>
        <w:ind w:leftChars="50" w:left="120"/>
        <w:rPr>
          <w:lang w:eastAsia="zh-CN"/>
        </w:rPr>
      </w:pPr>
      <w:r>
        <w:rPr>
          <w:rFonts w:hint="eastAsia"/>
          <w:lang w:eastAsia="zh-CN"/>
        </w:rPr>
        <w:t>a</w:t>
      </w:r>
      <w:r>
        <w:rPr>
          <w:lang w:eastAsia="zh-CN"/>
        </w:rPr>
        <w:t>nd, as applicable:</w:t>
      </w:r>
    </w:p>
    <w:p w14:paraId="6AFF441C" w14:textId="2716C4B3" w:rsidR="00592AB4" w:rsidRDefault="00592AB4" w:rsidP="00592AB4">
      <w:pPr>
        <w:pStyle w:val="StandardWeb"/>
        <w:numPr>
          <w:ilvl w:val="1"/>
          <w:numId w:val="7"/>
        </w:numPr>
        <w:ind w:left="720"/>
      </w:pPr>
      <w:r>
        <w:rPr>
          <w:rFonts w:hint="eastAsia"/>
          <w:lang w:eastAsia="zh-CN"/>
        </w:rPr>
        <w:t>a</w:t>
      </w:r>
      <w:r>
        <w:rPr>
          <w:lang w:eastAsia="zh-CN"/>
        </w:rPr>
        <w:t>ccounting for learning curve issues</w:t>
      </w:r>
    </w:p>
    <w:p w14:paraId="08AA4D3C" w14:textId="7989DBB7" w:rsidR="00592AB4" w:rsidRDefault="00592AB4" w:rsidP="00592AB4">
      <w:pPr>
        <w:pStyle w:val="StandardWeb"/>
        <w:numPr>
          <w:ilvl w:val="1"/>
          <w:numId w:val="7"/>
        </w:numPr>
        <w:ind w:left="720"/>
      </w:pPr>
      <w:r>
        <w:t>specification of interim analyses</w:t>
      </w:r>
    </w:p>
    <w:p w14:paraId="52B23B5B" w14:textId="1A2E402C" w:rsidR="00592AB4" w:rsidRDefault="00592AB4" w:rsidP="00592AB4">
      <w:pPr>
        <w:pStyle w:val="StandardWeb"/>
        <w:numPr>
          <w:ilvl w:val="1"/>
          <w:numId w:val="7"/>
        </w:numPr>
        <w:ind w:left="720"/>
      </w:pPr>
      <w:r>
        <w:t>specification of subgroup analyses</w:t>
      </w:r>
    </w:p>
    <w:p w14:paraId="0515DDDE" w14:textId="77777777" w:rsidR="00555EB9" w:rsidRDefault="009B5F54">
      <w:pPr>
        <w:pStyle w:val="StandardWeb"/>
      </w:pPr>
      <w:r>
        <w:t>The design should ensure that the statistical evaluation derived from the investigation reflects a meaningful, clinically significant outcome.</w:t>
      </w:r>
    </w:p>
    <w:p w14:paraId="32ED44B9" w14:textId="45F164AA" w:rsidR="00555EB9" w:rsidRDefault="009B5F54">
      <w:pPr>
        <w:pStyle w:val="StandardWeb"/>
      </w:pPr>
      <w:r>
        <w:rPr>
          <w:lang w:eastAsia="zh-CN"/>
        </w:rPr>
        <w:t xml:space="preserve">Multi-regional </w:t>
      </w:r>
      <w:r>
        <w:rPr>
          <w:rFonts w:hint="eastAsia"/>
          <w:lang w:eastAsia="zh-CN"/>
        </w:rPr>
        <w:t xml:space="preserve">clinical investigation </w:t>
      </w:r>
      <w:r>
        <w:rPr>
          <w:lang w:eastAsia="zh-CN"/>
        </w:rPr>
        <w:t>designs may be considered to facilitate more efficient medical device development, thus providing earlier access to new medical devices worldwide. For multi-regional clinical investigation designs, the potential differences between two or more regions that might affect study results should be carefully considered.</w:t>
      </w:r>
    </w:p>
    <w:p w14:paraId="5F4529C0" w14:textId="4606498C" w:rsidR="00555EB9" w:rsidRDefault="009B5F54">
      <w:pPr>
        <w:pStyle w:val="StandardWeb"/>
      </w:pPr>
      <w:r>
        <w:t>Discussion with the relevant regulatory authorities or conformity assessment bodies may be appropriate when there is uncertainty as to whether the proposed clinical investigational plan is sufficient.</w:t>
      </w:r>
    </w:p>
    <w:p w14:paraId="7B5F8AF4" w14:textId="77777777" w:rsidR="00555EB9" w:rsidRDefault="009B5F54">
      <w:pPr>
        <w:pStyle w:val="StandardWeb"/>
        <w:rPr>
          <w:b/>
          <w:i/>
        </w:rPr>
      </w:pPr>
      <w:r>
        <w:rPr>
          <w:b/>
          <w:i/>
        </w:rPr>
        <w:t>Conduct of Clinical Investigations</w:t>
      </w:r>
    </w:p>
    <w:p w14:paraId="35C14B37" w14:textId="6D38EBC4" w:rsidR="00555EB9" w:rsidRDefault="009B5F54">
      <w:pPr>
        <w:pStyle w:val="StandardWeb"/>
      </w:pPr>
      <w:r>
        <w:t>A properly conducted clinical investigation, including compliance to the clinical investigation plan and local laws and regulations, ensures the protection of human subjects, the integrity of the data and that the data obtained is acceptable for the purpose of demonstrating conformity to the Essential Principles. ISO 14155 outlines good clinical practice for clinical investigations of medical devices.</w:t>
      </w:r>
    </w:p>
    <w:p w14:paraId="536F4BA8" w14:textId="77777777" w:rsidR="00555EB9" w:rsidRDefault="009B5F54">
      <w:pPr>
        <w:pStyle w:val="StandardWeb"/>
        <w:rPr>
          <w:b/>
          <w:i/>
        </w:rPr>
      </w:pPr>
      <w:r>
        <w:rPr>
          <w:b/>
          <w:i/>
        </w:rPr>
        <w:t>Final Study Report</w:t>
      </w:r>
    </w:p>
    <w:p w14:paraId="21CB542A" w14:textId="3214F172" w:rsidR="00555EB9" w:rsidRDefault="009B5F54" w:rsidP="00DE68FC">
      <w:pPr>
        <w:pStyle w:val="StandardWeb"/>
      </w:pPr>
      <w:r>
        <w:lastRenderedPageBreak/>
        <w:t>The outcome of a clinical investigation should be docum</w:t>
      </w:r>
      <w:r w:rsidR="00DE68FC">
        <w:t xml:space="preserve">ented in a final study report. </w:t>
      </w:r>
      <w:r>
        <w:t xml:space="preserve">This then forms part of the clinical data that is included in the clinical evaluation process and ultimately becomes integrated into the clinical evaluation report (see </w:t>
      </w:r>
      <w:r>
        <w:rPr>
          <w:lang w:eastAsia="zh-CN"/>
        </w:rPr>
        <w:t>IMDRF/</w:t>
      </w:r>
      <w:r>
        <w:rPr>
          <w:rFonts w:hint="eastAsia"/>
          <w:lang w:eastAsia="zh-CN"/>
        </w:rPr>
        <w:t>MDCE WG/</w:t>
      </w:r>
      <w:r w:rsidR="008E2027">
        <w:rPr>
          <w:rFonts w:hint="eastAsia"/>
          <w:lang w:eastAsia="zh-CN"/>
        </w:rPr>
        <w:t>N</w:t>
      </w:r>
      <w:r w:rsidR="008E2027">
        <w:rPr>
          <w:lang w:eastAsia="zh-CN"/>
        </w:rPr>
        <w:t>56</w:t>
      </w:r>
      <w:r w:rsidR="005D3B0E">
        <w:rPr>
          <w:lang w:eastAsia="zh-CN"/>
        </w:rPr>
        <w:t>FINAL:2019</w:t>
      </w:r>
      <w:r w:rsidR="008E2027">
        <w:rPr>
          <w:lang w:eastAsia="zh-CN"/>
        </w:rPr>
        <w:t xml:space="preserve"> </w:t>
      </w:r>
      <w:r>
        <w:rPr>
          <w:i/>
          <w:lang w:eastAsia="zh-CN"/>
        </w:rPr>
        <w:t>Clinical Evaluation</w:t>
      </w:r>
      <w:r>
        <w:t>) for the purposes of conformity assessment.</w:t>
      </w:r>
    </w:p>
    <w:p w14:paraId="10689C83" w14:textId="66F6D2C3" w:rsidR="00555EB9" w:rsidRDefault="009B5F54">
      <w:pPr>
        <w:outlineLvl w:val="0"/>
        <w:rPr>
          <w:b/>
        </w:rPr>
      </w:pPr>
      <w:bookmarkStart w:id="15" w:name="_Toc148779667"/>
      <w:bookmarkStart w:id="16" w:name="_Toc21544256"/>
      <w:r>
        <w:rPr>
          <w:b/>
          <w:sz w:val="28"/>
          <w:szCs w:val="28"/>
        </w:rPr>
        <w:t>7</w:t>
      </w:r>
      <w:bookmarkEnd w:id="15"/>
      <w:r w:rsidR="002C2F97">
        <w:rPr>
          <w:b/>
          <w:sz w:val="28"/>
          <w:szCs w:val="28"/>
        </w:rPr>
        <w:t>.0</w:t>
      </w:r>
      <w:r w:rsidR="00623E72">
        <w:rPr>
          <w:b/>
          <w:sz w:val="28"/>
          <w:szCs w:val="28"/>
        </w:rPr>
        <w:t xml:space="preserve"> </w:t>
      </w:r>
      <w:r>
        <w:rPr>
          <w:b/>
          <w:sz w:val="28"/>
          <w:szCs w:val="28"/>
        </w:rPr>
        <w:t>Ethical Considerations for Clinical Investigations</w:t>
      </w:r>
      <w:bookmarkEnd w:id="16"/>
    </w:p>
    <w:p w14:paraId="18490B7C" w14:textId="77777777" w:rsidR="00555EB9" w:rsidRDefault="00555EB9"/>
    <w:p w14:paraId="454A48DF" w14:textId="77777777" w:rsidR="00555EB9" w:rsidRDefault="009B5F54" w:rsidP="00623E72">
      <w:r>
        <w:t>As a general principle, “the rights, safety and wellbeing of clinical investigation subjects shall be protected consistent with the ethical principles laid down in the Declaration of Helsinki” and the applicable regulatory requirements</w:t>
      </w:r>
      <w:r>
        <w:rPr>
          <w:rFonts w:hint="eastAsia"/>
          <w:lang w:eastAsia="zh-CN"/>
        </w:rPr>
        <w:t xml:space="preserve"> </w:t>
      </w:r>
      <w:r>
        <w:rPr>
          <w:lang w:eastAsia="zh-CN"/>
        </w:rPr>
        <w:t xml:space="preserve">or other relevant standards </w:t>
      </w:r>
      <w:r>
        <w:rPr>
          <w:rFonts w:hint="eastAsia"/>
        </w:rPr>
        <w:t>(ISO 14155</w:t>
      </w:r>
      <w:r>
        <w:t>:2011</w:t>
      </w:r>
      <w:r>
        <w:rPr>
          <w:rFonts w:hint="eastAsia"/>
        </w:rPr>
        <w:t>).</w:t>
      </w:r>
    </w:p>
    <w:p w14:paraId="4DDA6F06" w14:textId="77777777" w:rsidR="00555EB9" w:rsidRDefault="00555EB9" w:rsidP="00623E72"/>
    <w:p w14:paraId="4FE2151E" w14:textId="41F65A5E" w:rsidR="00555EB9" w:rsidRDefault="009B5F54" w:rsidP="00623E72">
      <w:pPr>
        <w:rPr>
          <w:lang w:eastAsia="zh-CN"/>
        </w:rPr>
      </w:pPr>
      <w:r>
        <w:t>It is ethically important in deciding to conduct a clinical investigation that it should generate new data and answer specific safety</w:t>
      </w:r>
      <w:r>
        <w:rPr>
          <w:spacing w:val="-2"/>
        </w:rPr>
        <w:t xml:space="preserve">, </w:t>
      </w:r>
      <w:r>
        <w:rPr>
          <w:spacing w:val="-1"/>
        </w:rPr>
        <w:t>clinical</w:t>
      </w:r>
      <w:r>
        <w:t xml:space="preserve"> </w:t>
      </w:r>
      <w:r>
        <w:rPr>
          <w:spacing w:val="-1"/>
        </w:rPr>
        <w:t>performance, and/or effectiveness</w:t>
      </w:r>
      <w:r>
        <w:t xml:space="preserve"> questions that remain unanswered by the current body of knowledge. The desire to protect human subjects from unnecessary or inappropriate experimentation must be balanced with the need to protect public health through the use of clinical investigations where they are indicated.  In all cases, however, care must be taken to ensure that the necessary data are obtained through a scientific and ethical investigational process that does not expose subjects to undue risks or discomfort. The rights, safety and well-being of subjects are paramount, and appropriate trial design and conduct is essential to generate meaningful data. </w:t>
      </w:r>
    </w:p>
    <w:sectPr w:rsidR="00555EB9" w:rsidSect="00540689">
      <w:pgSz w:w="12240" w:h="15840"/>
      <w:pgMar w:top="1138"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8ED17" w14:textId="77777777" w:rsidR="00E516ED" w:rsidRDefault="00E516ED">
      <w:r>
        <w:separator/>
      </w:r>
    </w:p>
  </w:endnote>
  <w:endnote w:type="continuationSeparator" w:id="0">
    <w:p w14:paraId="757E54CE" w14:textId="77777777" w:rsidR="00E516ED" w:rsidRDefault="00E5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auto"/>
    <w:pitch w:val="default"/>
  </w:font>
  <w:font w:name="CG Times">
    <w:altName w:val="Times New Roman"/>
    <w:charset w:val="00"/>
    <w:family w:val="roman"/>
    <w:pitch w:val="variable"/>
    <w:sig w:usb0="00000287" w:usb1="00000000" w:usb2="00000000" w:usb3="00000000" w:csb0="0000009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76" w:type="dxa"/>
      <w:tblBorders>
        <w:top w:val="single" w:sz="4" w:space="0" w:color="auto"/>
      </w:tblBorders>
      <w:tblLayout w:type="fixed"/>
      <w:tblLook w:val="04A0" w:firstRow="1" w:lastRow="0" w:firstColumn="1" w:lastColumn="0" w:noHBand="0" w:noVBand="1"/>
    </w:tblPr>
    <w:tblGrid>
      <w:gridCol w:w="4788"/>
      <w:gridCol w:w="4788"/>
    </w:tblGrid>
    <w:tr w:rsidR="001E58C9" w14:paraId="15A04101" w14:textId="77777777">
      <w:tc>
        <w:tcPr>
          <w:tcW w:w="4788" w:type="dxa"/>
        </w:tcPr>
        <w:p w14:paraId="59CE6CD4" w14:textId="64D93DFB" w:rsidR="001E58C9" w:rsidRDefault="007F503A" w:rsidP="007F503A">
          <w:pPr>
            <w:spacing w:line="225" w:lineRule="exact"/>
            <w:ind w:left="20"/>
            <w:rPr>
              <w:rFonts w:eastAsia="Times New Roman"/>
              <w:sz w:val="20"/>
            </w:rPr>
          </w:pPr>
          <w:r>
            <w:rPr>
              <w:spacing w:val="-1"/>
              <w:sz w:val="20"/>
            </w:rPr>
            <w:t>October 10, 2019</w:t>
          </w:r>
        </w:p>
      </w:tc>
      <w:tc>
        <w:tcPr>
          <w:tcW w:w="4788" w:type="dxa"/>
        </w:tcPr>
        <w:p w14:paraId="5F31D409" w14:textId="3289F3FC" w:rsidR="001E58C9" w:rsidRDefault="001E58C9">
          <w:pPr>
            <w:pStyle w:val="Fuzeile"/>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C07CB9">
            <w:rPr>
              <w:noProof/>
              <w:snapToGrid w:val="0"/>
              <w:sz w:val="20"/>
            </w:rPr>
            <w:t>11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C07CB9">
            <w:rPr>
              <w:noProof/>
              <w:snapToGrid w:val="0"/>
              <w:sz w:val="20"/>
            </w:rPr>
            <w:t>11</w:t>
          </w:r>
          <w:r>
            <w:rPr>
              <w:snapToGrid w:val="0"/>
              <w:sz w:val="20"/>
            </w:rPr>
            <w:fldChar w:fldCharType="end"/>
          </w:r>
        </w:p>
      </w:tc>
    </w:tr>
  </w:tbl>
  <w:p w14:paraId="3FEA6DC6" w14:textId="77777777" w:rsidR="001E58C9" w:rsidRDefault="001E58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8C23A" w14:textId="77777777" w:rsidR="00E516ED" w:rsidRDefault="00E516ED">
      <w:r>
        <w:separator/>
      </w:r>
    </w:p>
  </w:footnote>
  <w:footnote w:type="continuationSeparator" w:id="0">
    <w:p w14:paraId="43AB3889" w14:textId="77777777" w:rsidR="00E516ED" w:rsidRDefault="00E5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CC3C6" w14:textId="077A0784" w:rsidR="001E58C9" w:rsidRDefault="001E58C9">
    <w:pPr>
      <w:pStyle w:val="Kopfzeile"/>
      <w:wordWrap w:val="0"/>
      <w:ind w:right="-720"/>
      <w:jc w:val="right"/>
      <w:rPr>
        <w:b/>
        <w:szCs w:val="24"/>
        <w:lang w:val="pt-PT"/>
      </w:rPr>
    </w:pPr>
    <w:r>
      <w:rPr>
        <w:b/>
        <w:lang w:val="pt-PT"/>
      </w:rPr>
      <w:t xml:space="preserve">IMDRF </w:t>
    </w:r>
    <w:r>
      <w:rPr>
        <w:b/>
        <w:szCs w:val="24"/>
        <w:lang w:val="pt-PT"/>
      </w:rPr>
      <w:t>MDCE WG/N57</w:t>
    </w:r>
    <w:r w:rsidR="00D90B42">
      <w:rPr>
        <w:b/>
        <w:szCs w:val="24"/>
        <w:lang w:val="pt-PT"/>
      </w:rPr>
      <w:t>FINAL:2019</w:t>
    </w:r>
    <w:r>
      <w:rPr>
        <w:b/>
        <w:szCs w:val="24"/>
        <w:lang w:val="pt-PT"/>
      </w:rPr>
      <w:t xml:space="preserve"> (formerly </w:t>
    </w:r>
    <w:r>
      <w:rPr>
        <w:b/>
        <w:color w:val="000000"/>
        <w:szCs w:val="24"/>
      </w:rPr>
      <w:t>GHTF/SG5/N3:2010</w:t>
    </w:r>
    <w:r w:rsidR="00CA23C7" w:rsidRPr="00E3415A">
      <w:rPr>
        <w:b/>
        <w:szCs w:val="24"/>
        <w:lang w:val="pt-PT"/>
      </w:rPr>
      <w:t>)</w:t>
    </w:r>
  </w:p>
  <w:p w14:paraId="509F6BD4" w14:textId="77777777" w:rsidR="001E58C9" w:rsidRDefault="001E58C9">
    <w:pPr>
      <w:pStyle w:val="Kopfzeile"/>
      <w:jc w:val="center"/>
      <w:rPr>
        <w:b/>
        <w:szCs w:val="24"/>
        <w:lang w:val="pt-PT"/>
      </w:rPr>
    </w:pPr>
  </w:p>
  <w:p w14:paraId="0EF8893F" w14:textId="77777777" w:rsidR="001E58C9" w:rsidRDefault="001E58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B27E3" w14:textId="1CAC295D" w:rsidR="001E58C9" w:rsidRDefault="00D90B42">
    <w:pPr>
      <w:pStyle w:val="Kopfzeile"/>
      <w:pBdr>
        <w:bottom w:val="single" w:sz="4" w:space="1" w:color="auto"/>
      </w:pBdr>
      <w:jc w:val="center"/>
      <w:rPr>
        <w:sz w:val="20"/>
      </w:rPr>
    </w:pPr>
    <w:r w:rsidRPr="00D90B42">
      <w:rPr>
        <w:rFonts w:ascii="CG Times" w:hAnsi="CG Times"/>
        <w:sz w:val="20"/>
      </w:rPr>
      <w:t>IMDRF MDCE WG/N57FINAL:2019 (formerly GHTF/SG5/N3:2010)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A1B8B4"/>
    <w:multiLevelType w:val="singleLevel"/>
    <w:tmpl w:val="8D30FBC6"/>
    <w:lvl w:ilvl="0">
      <w:start w:val="3"/>
      <w:numFmt w:val="decimal"/>
      <w:lvlText w:val="%1."/>
      <w:lvlJc w:val="left"/>
      <w:pPr>
        <w:tabs>
          <w:tab w:val="left" w:pos="312"/>
        </w:tabs>
      </w:pPr>
      <w:rPr>
        <w:color w:val="000000" w:themeColor="text1"/>
      </w:rPr>
    </w:lvl>
  </w:abstractNum>
  <w:abstractNum w:abstractNumId="1" w15:restartNumberingAfterBreak="0">
    <w:nsid w:val="0C6A6F62"/>
    <w:multiLevelType w:val="multilevel"/>
    <w:tmpl w:val="0C6A6F6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58A4B01"/>
    <w:multiLevelType w:val="multilevel"/>
    <w:tmpl w:val="258A4B01"/>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2932C2"/>
    <w:multiLevelType w:val="multilevel"/>
    <w:tmpl w:val="312932C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3862536F"/>
    <w:multiLevelType w:val="multilevel"/>
    <w:tmpl w:val="3862536F"/>
    <w:lvl w:ilvl="0">
      <w:start w:val="1"/>
      <w:numFmt w:val="bullet"/>
      <w:lvlText w:val=""/>
      <w:lvlJc w:val="left"/>
      <w:pPr>
        <w:tabs>
          <w:tab w:val="left" w:pos="360"/>
        </w:tabs>
        <w:ind w:left="360" w:hanging="360"/>
      </w:pPr>
      <w:rPr>
        <w:rFonts w:ascii="Symbol" w:hAnsi="Symbol" w:cs="Symbol" w:hint="default"/>
        <w:color w:val="auto"/>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5" w15:restartNumberingAfterBreak="0">
    <w:nsid w:val="4EAF442D"/>
    <w:multiLevelType w:val="multilevel"/>
    <w:tmpl w:val="4EAF442D"/>
    <w:lvl w:ilvl="0">
      <w:start w:val="1"/>
      <w:numFmt w:val="bullet"/>
      <w:lvlText w:val=""/>
      <w:lvlJc w:val="left"/>
      <w:pPr>
        <w:tabs>
          <w:tab w:val="left" w:pos="720"/>
        </w:tabs>
        <w:ind w:left="720" w:hanging="720"/>
      </w:pPr>
      <w:rPr>
        <w:rFonts w:ascii="Symbol" w:hAnsi="Symbol" w:hint="default"/>
        <w:sz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FBC5DA9"/>
    <w:multiLevelType w:val="multilevel"/>
    <w:tmpl w:val="6FBC5DA9"/>
    <w:lvl w:ilvl="0">
      <w:start w:val="1"/>
      <w:numFmt w:val="decimal"/>
      <w:lvlText w:val="%1."/>
      <w:lvlJc w:val="left"/>
      <w:pPr>
        <w:ind w:left="720" w:hanging="360"/>
      </w:pPr>
      <w:rPr>
        <w:rFonts w:eastAsia="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zMDA2NzE0tDQzNDVQ0lEKTi0uzszPAykwNKwFADj+ktYtAAAA"/>
  </w:docVars>
  <w:rsids>
    <w:rsidRoot w:val="00F478EA"/>
    <w:rsid w:val="000018F6"/>
    <w:rsid w:val="00003F57"/>
    <w:rsid w:val="00004ED3"/>
    <w:rsid w:val="0000688D"/>
    <w:rsid w:val="00011860"/>
    <w:rsid w:val="0001188F"/>
    <w:rsid w:val="000204EF"/>
    <w:rsid w:val="0002280F"/>
    <w:rsid w:val="00026167"/>
    <w:rsid w:val="00026654"/>
    <w:rsid w:val="000349A5"/>
    <w:rsid w:val="00036F97"/>
    <w:rsid w:val="00037DD2"/>
    <w:rsid w:val="00041A56"/>
    <w:rsid w:val="00042935"/>
    <w:rsid w:val="00050534"/>
    <w:rsid w:val="00051064"/>
    <w:rsid w:val="0005313B"/>
    <w:rsid w:val="00061E95"/>
    <w:rsid w:val="000669DC"/>
    <w:rsid w:val="00066D6E"/>
    <w:rsid w:val="00076BF2"/>
    <w:rsid w:val="000808AB"/>
    <w:rsid w:val="0008392E"/>
    <w:rsid w:val="00095ED6"/>
    <w:rsid w:val="00097A60"/>
    <w:rsid w:val="000A2661"/>
    <w:rsid w:val="000A322D"/>
    <w:rsid w:val="000B395B"/>
    <w:rsid w:val="000B6A24"/>
    <w:rsid w:val="000C18D6"/>
    <w:rsid w:val="000C2806"/>
    <w:rsid w:val="000D1C6F"/>
    <w:rsid w:val="000D67A4"/>
    <w:rsid w:val="000E28F4"/>
    <w:rsid w:val="000E4BD7"/>
    <w:rsid w:val="000E6438"/>
    <w:rsid w:val="000E7004"/>
    <w:rsid w:val="000F1754"/>
    <w:rsid w:val="000F282D"/>
    <w:rsid w:val="000F3644"/>
    <w:rsid w:val="000F3995"/>
    <w:rsid w:val="000F3EEF"/>
    <w:rsid w:val="0010621A"/>
    <w:rsid w:val="00107459"/>
    <w:rsid w:val="001075BF"/>
    <w:rsid w:val="0011071F"/>
    <w:rsid w:val="00114568"/>
    <w:rsid w:val="001157C9"/>
    <w:rsid w:val="00116652"/>
    <w:rsid w:val="00124973"/>
    <w:rsid w:val="001250E1"/>
    <w:rsid w:val="00134296"/>
    <w:rsid w:val="00134403"/>
    <w:rsid w:val="00134A31"/>
    <w:rsid w:val="00140F2A"/>
    <w:rsid w:val="00142EA6"/>
    <w:rsid w:val="00144B82"/>
    <w:rsid w:val="00162B72"/>
    <w:rsid w:val="0016508D"/>
    <w:rsid w:val="001662B5"/>
    <w:rsid w:val="00166D0F"/>
    <w:rsid w:val="00166EBE"/>
    <w:rsid w:val="00167EE5"/>
    <w:rsid w:val="00170EB9"/>
    <w:rsid w:val="00171883"/>
    <w:rsid w:val="001759A0"/>
    <w:rsid w:val="001821D5"/>
    <w:rsid w:val="001824B2"/>
    <w:rsid w:val="00184431"/>
    <w:rsid w:val="00190F45"/>
    <w:rsid w:val="00191AE0"/>
    <w:rsid w:val="00192147"/>
    <w:rsid w:val="00197240"/>
    <w:rsid w:val="001A08BD"/>
    <w:rsid w:val="001A12D9"/>
    <w:rsid w:val="001A3AE6"/>
    <w:rsid w:val="001A6779"/>
    <w:rsid w:val="001B2648"/>
    <w:rsid w:val="001B6CCA"/>
    <w:rsid w:val="001C5B97"/>
    <w:rsid w:val="001D1743"/>
    <w:rsid w:val="001D6742"/>
    <w:rsid w:val="001E0106"/>
    <w:rsid w:val="001E06C6"/>
    <w:rsid w:val="001E3D39"/>
    <w:rsid w:val="001E48D5"/>
    <w:rsid w:val="001E58C9"/>
    <w:rsid w:val="001F4BB2"/>
    <w:rsid w:val="0020045B"/>
    <w:rsid w:val="00204ACC"/>
    <w:rsid w:val="00205081"/>
    <w:rsid w:val="00211DB8"/>
    <w:rsid w:val="00216300"/>
    <w:rsid w:val="0022319E"/>
    <w:rsid w:val="00225064"/>
    <w:rsid w:val="0022510E"/>
    <w:rsid w:val="00226ED8"/>
    <w:rsid w:val="00227107"/>
    <w:rsid w:val="00232316"/>
    <w:rsid w:val="00242E30"/>
    <w:rsid w:val="00244C7F"/>
    <w:rsid w:val="00246555"/>
    <w:rsid w:val="00247E68"/>
    <w:rsid w:val="0025030B"/>
    <w:rsid w:val="00253C94"/>
    <w:rsid w:val="0025640C"/>
    <w:rsid w:val="00256603"/>
    <w:rsid w:val="00264520"/>
    <w:rsid w:val="0027392E"/>
    <w:rsid w:val="00277A59"/>
    <w:rsid w:val="0028261E"/>
    <w:rsid w:val="00283039"/>
    <w:rsid w:val="00286D46"/>
    <w:rsid w:val="00293F52"/>
    <w:rsid w:val="002B396D"/>
    <w:rsid w:val="002B6E23"/>
    <w:rsid w:val="002C2288"/>
    <w:rsid w:val="002C2F97"/>
    <w:rsid w:val="002C5E50"/>
    <w:rsid w:val="002C7CB4"/>
    <w:rsid w:val="002D0671"/>
    <w:rsid w:val="002D22FE"/>
    <w:rsid w:val="002D2D04"/>
    <w:rsid w:val="002D3888"/>
    <w:rsid w:val="002D404D"/>
    <w:rsid w:val="002D4895"/>
    <w:rsid w:val="002E207E"/>
    <w:rsid w:val="002E560C"/>
    <w:rsid w:val="002E6E73"/>
    <w:rsid w:val="002F5C00"/>
    <w:rsid w:val="002F6085"/>
    <w:rsid w:val="0030182C"/>
    <w:rsid w:val="00302385"/>
    <w:rsid w:val="00306D65"/>
    <w:rsid w:val="00307AB9"/>
    <w:rsid w:val="00310DEE"/>
    <w:rsid w:val="00314CED"/>
    <w:rsid w:val="003157ED"/>
    <w:rsid w:val="00315CBE"/>
    <w:rsid w:val="0031664D"/>
    <w:rsid w:val="00324C18"/>
    <w:rsid w:val="00325931"/>
    <w:rsid w:val="003266FC"/>
    <w:rsid w:val="003307AF"/>
    <w:rsid w:val="003329AA"/>
    <w:rsid w:val="00337A3B"/>
    <w:rsid w:val="00337D7F"/>
    <w:rsid w:val="003457C3"/>
    <w:rsid w:val="0035206D"/>
    <w:rsid w:val="003567FF"/>
    <w:rsid w:val="00356999"/>
    <w:rsid w:val="00357F4F"/>
    <w:rsid w:val="00361FF1"/>
    <w:rsid w:val="003665D6"/>
    <w:rsid w:val="00370327"/>
    <w:rsid w:val="00373FB0"/>
    <w:rsid w:val="00374864"/>
    <w:rsid w:val="00380A27"/>
    <w:rsid w:val="00381CBD"/>
    <w:rsid w:val="003821F6"/>
    <w:rsid w:val="00383087"/>
    <w:rsid w:val="00383593"/>
    <w:rsid w:val="00386B89"/>
    <w:rsid w:val="003923B7"/>
    <w:rsid w:val="0039407A"/>
    <w:rsid w:val="00397BD4"/>
    <w:rsid w:val="003A04DF"/>
    <w:rsid w:val="003A5543"/>
    <w:rsid w:val="003A6623"/>
    <w:rsid w:val="003B093B"/>
    <w:rsid w:val="003C36D0"/>
    <w:rsid w:val="003C4E9D"/>
    <w:rsid w:val="003C77BF"/>
    <w:rsid w:val="003D1206"/>
    <w:rsid w:val="003F15F1"/>
    <w:rsid w:val="003F401E"/>
    <w:rsid w:val="004124A7"/>
    <w:rsid w:val="00417357"/>
    <w:rsid w:val="00430712"/>
    <w:rsid w:val="004307D7"/>
    <w:rsid w:val="004368AB"/>
    <w:rsid w:val="0044099F"/>
    <w:rsid w:val="0044356D"/>
    <w:rsid w:val="00443ACE"/>
    <w:rsid w:val="00444739"/>
    <w:rsid w:val="004467C6"/>
    <w:rsid w:val="00447EF5"/>
    <w:rsid w:val="00451A59"/>
    <w:rsid w:val="00453519"/>
    <w:rsid w:val="00456BE8"/>
    <w:rsid w:val="00456F3B"/>
    <w:rsid w:val="00457EE8"/>
    <w:rsid w:val="00461E42"/>
    <w:rsid w:val="00466D2F"/>
    <w:rsid w:val="00470213"/>
    <w:rsid w:val="00472B44"/>
    <w:rsid w:val="00474F94"/>
    <w:rsid w:val="00480929"/>
    <w:rsid w:val="00480B13"/>
    <w:rsid w:val="0049167E"/>
    <w:rsid w:val="004A05E0"/>
    <w:rsid w:val="004A2F56"/>
    <w:rsid w:val="004A4097"/>
    <w:rsid w:val="004A5B1E"/>
    <w:rsid w:val="004A6847"/>
    <w:rsid w:val="004A76C2"/>
    <w:rsid w:val="004A7764"/>
    <w:rsid w:val="004B07DE"/>
    <w:rsid w:val="004B15D4"/>
    <w:rsid w:val="004B186F"/>
    <w:rsid w:val="004B3056"/>
    <w:rsid w:val="004B5FD4"/>
    <w:rsid w:val="004B6A54"/>
    <w:rsid w:val="004B7683"/>
    <w:rsid w:val="004C1AE9"/>
    <w:rsid w:val="004D4344"/>
    <w:rsid w:val="004E332B"/>
    <w:rsid w:val="004E55BE"/>
    <w:rsid w:val="004F0088"/>
    <w:rsid w:val="004F519A"/>
    <w:rsid w:val="00501478"/>
    <w:rsid w:val="005046C0"/>
    <w:rsid w:val="00505B67"/>
    <w:rsid w:val="005065C4"/>
    <w:rsid w:val="00512979"/>
    <w:rsid w:val="00520799"/>
    <w:rsid w:val="005254AC"/>
    <w:rsid w:val="005260AD"/>
    <w:rsid w:val="00534695"/>
    <w:rsid w:val="005348E3"/>
    <w:rsid w:val="00535FB4"/>
    <w:rsid w:val="00537761"/>
    <w:rsid w:val="00537BA3"/>
    <w:rsid w:val="005403D3"/>
    <w:rsid w:val="00540689"/>
    <w:rsid w:val="00553621"/>
    <w:rsid w:val="00555EB9"/>
    <w:rsid w:val="00560A4F"/>
    <w:rsid w:val="00562FC5"/>
    <w:rsid w:val="005649C5"/>
    <w:rsid w:val="0056508F"/>
    <w:rsid w:val="00567230"/>
    <w:rsid w:val="005709A9"/>
    <w:rsid w:val="0057135E"/>
    <w:rsid w:val="00571824"/>
    <w:rsid w:val="005723E0"/>
    <w:rsid w:val="005746B2"/>
    <w:rsid w:val="005754AD"/>
    <w:rsid w:val="00577A54"/>
    <w:rsid w:val="00586565"/>
    <w:rsid w:val="005923EA"/>
    <w:rsid w:val="00592AB4"/>
    <w:rsid w:val="005A15EF"/>
    <w:rsid w:val="005A6C0F"/>
    <w:rsid w:val="005B3EBC"/>
    <w:rsid w:val="005B51A3"/>
    <w:rsid w:val="005D3B0E"/>
    <w:rsid w:val="005D3EC1"/>
    <w:rsid w:val="005D7810"/>
    <w:rsid w:val="005E2D9B"/>
    <w:rsid w:val="005F2792"/>
    <w:rsid w:val="005F37AF"/>
    <w:rsid w:val="00601128"/>
    <w:rsid w:val="00602013"/>
    <w:rsid w:val="0060446C"/>
    <w:rsid w:val="00611D9A"/>
    <w:rsid w:val="0061376F"/>
    <w:rsid w:val="00617C6B"/>
    <w:rsid w:val="00617DCA"/>
    <w:rsid w:val="00623BB3"/>
    <w:rsid w:val="00623E72"/>
    <w:rsid w:val="006255DF"/>
    <w:rsid w:val="00626CAB"/>
    <w:rsid w:val="0062755C"/>
    <w:rsid w:val="006313F1"/>
    <w:rsid w:val="0063598F"/>
    <w:rsid w:val="006427F3"/>
    <w:rsid w:val="00643042"/>
    <w:rsid w:val="00646AA1"/>
    <w:rsid w:val="00656763"/>
    <w:rsid w:val="00660457"/>
    <w:rsid w:val="00663BBE"/>
    <w:rsid w:val="00664A55"/>
    <w:rsid w:val="00670499"/>
    <w:rsid w:val="00671522"/>
    <w:rsid w:val="006760C7"/>
    <w:rsid w:val="00676ADF"/>
    <w:rsid w:val="006812B9"/>
    <w:rsid w:val="00683EEA"/>
    <w:rsid w:val="00687AB2"/>
    <w:rsid w:val="0069076F"/>
    <w:rsid w:val="006957C7"/>
    <w:rsid w:val="00696EBA"/>
    <w:rsid w:val="006A06B4"/>
    <w:rsid w:val="006A445C"/>
    <w:rsid w:val="006A4A91"/>
    <w:rsid w:val="006A56AF"/>
    <w:rsid w:val="006A5E89"/>
    <w:rsid w:val="006B50CB"/>
    <w:rsid w:val="006B7B51"/>
    <w:rsid w:val="006C2B79"/>
    <w:rsid w:val="006C3151"/>
    <w:rsid w:val="006D1269"/>
    <w:rsid w:val="006D4A7D"/>
    <w:rsid w:val="006D655E"/>
    <w:rsid w:val="006D76BA"/>
    <w:rsid w:val="006E05C3"/>
    <w:rsid w:val="006E57B6"/>
    <w:rsid w:val="006E63B1"/>
    <w:rsid w:val="006F0121"/>
    <w:rsid w:val="006F4D65"/>
    <w:rsid w:val="00700748"/>
    <w:rsid w:val="007013FC"/>
    <w:rsid w:val="00701CB0"/>
    <w:rsid w:val="007161C3"/>
    <w:rsid w:val="00720EBF"/>
    <w:rsid w:val="00720F28"/>
    <w:rsid w:val="007245EC"/>
    <w:rsid w:val="007264E7"/>
    <w:rsid w:val="00730F94"/>
    <w:rsid w:val="00737002"/>
    <w:rsid w:val="007412DE"/>
    <w:rsid w:val="00741572"/>
    <w:rsid w:val="00745DB9"/>
    <w:rsid w:val="00750BB3"/>
    <w:rsid w:val="00772272"/>
    <w:rsid w:val="00772374"/>
    <w:rsid w:val="00774F6D"/>
    <w:rsid w:val="007775F7"/>
    <w:rsid w:val="00782ECA"/>
    <w:rsid w:val="00784225"/>
    <w:rsid w:val="0078777A"/>
    <w:rsid w:val="0079194E"/>
    <w:rsid w:val="0079302A"/>
    <w:rsid w:val="007B2F0C"/>
    <w:rsid w:val="007B4A5E"/>
    <w:rsid w:val="007B4DE6"/>
    <w:rsid w:val="007B5A45"/>
    <w:rsid w:val="007B6F91"/>
    <w:rsid w:val="007C38A4"/>
    <w:rsid w:val="007C5F1B"/>
    <w:rsid w:val="007C6168"/>
    <w:rsid w:val="007D0634"/>
    <w:rsid w:val="007D1A6C"/>
    <w:rsid w:val="007D565B"/>
    <w:rsid w:val="007D6298"/>
    <w:rsid w:val="007E7FC4"/>
    <w:rsid w:val="007F0918"/>
    <w:rsid w:val="007F33CF"/>
    <w:rsid w:val="007F4D0B"/>
    <w:rsid w:val="007F503A"/>
    <w:rsid w:val="007F6750"/>
    <w:rsid w:val="00801712"/>
    <w:rsid w:val="00805641"/>
    <w:rsid w:val="00805F5F"/>
    <w:rsid w:val="00807842"/>
    <w:rsid w:val="008125B6"/>
    <w:rsid w:val="00813D14"/>
    <w:rsid w:val="00821E80"/>
    <w:rsid w:val="008233D4"/>
    <w:rsid w:val="0082390E"/>
    <w:rsid w:val="00824FEB"/>
    <w:rsid w:val="00826B05"/>
    <w:rsid w:val="00830239"/>
    <w:rsid w:val="008366E9"/>
    <w:rsid w:val="00841367"/>
    <w:rsid w:val="0084530A"/>
    <w:rsid w:val="00845D60"/>
    <w:rsid w:val="00852BF0"/>
    <w:rsid w:val="00852F83"/>
    <w:rsid w:val="00854AE6"/>
    <w:rsid w:val="00856F68"/>
    <w:rsid w:val="00865E58"/>
    <w:rsid w:val="00867010"/>
    <w:rsid w:val="00867804"/>
    <w:rsid w:val="00870554"/>
    <w:rsid w:val="00874244"/>
    <w:rsid w:val="00880AB0"/>
    <w:rsid w:val="00881841"/>
    <w:rsid w:val="00883848"/>
    <w:rsid w:val="00883B29"/>
    <w:rsid w:val="00886FC4"/>
    <w:rsid w:val="00887D49"/>
    <w:rsid w:val="00895BC9"/>
    <w:rsid w:val="00897FDB"/>
    <w:rsid w:val="008A28FD"/>
    <w:rsid w:val="008A3500"/>
    <w:rsid w:val="008A5328"/>
    <w:rsid w:val="008A5E60"/>
    <w:rsid w:val="008A5F6B"/>
    <w:rsid w:val="008A6E3A"/>
    <w:rsid w:val="008A7B4B"/>
    <w:rsid w:val="008B0081"/>
    <w:rsid w:val="008B43F4"/>
    <w:rsid w:val="008C38A6"/>
    <w:rsid w:val="008C7C46"/>
    <w:rsid w:val="008D664F"/>
    <w:rsid w:val="008D7829"/>
    <w:rsid w:val="008E2027"/>
    <w:rsid w:val="008F092D"/>
    <w:rsid w:val="008F2882"/>
    <w:rsid w:val="008F2AFF"/>
    <w:rsid w:val="00900CD7"/>
    <w:rsid w:val="00901491"/>
    <w:rsid w:val="00902014"/>
    <w:rsid w:val="00930661"/>
    <w:rsid w:val="00931CC2"/>
    <w:rsid w:val="00931CF9"/>
    <w:rsid w:val="0093443E"/>
    <w:rsid w:val="009407A3"/>
    <w:rsid w:val="00942250"/>
    <w:rsid w:val="009462E6"/>
    <w:rsid w:val="009500EA"/>
    <w:rsid w:val="009511B7"/>
    <w:rsid w:val="00951C5E"/>
    <w:rsid w:val="00952F53"/>
    <w:rsid w:val="00953B24"/>
    <w:rsid w:val="009549CC"/>
    <w:rsid w:val="0095641B"/>
    <w:rsid w:val="009602F8"/>
    <w:rsid w:val="00960ACD"/>
    <w:rsid w:val="00965EF9"/>
    <w:rsid w:val="00965FBB"/>
    <w:rsid w:val="00966FEB"/>
    <w:rsid w:val="00967A75"/>
    <w:rsid w:val="00970C30"/>
    <w:rsid w:val="009768EB"/>
    <w:rsid w:val="009808DD"/>
    <w:rsid w:val="00984B54"/>
    <w:rsid w:val="00985584"/>
    <w:rsid w:val="00987D05"/>
    <w:rsid w:val="00990D4D"/>
    <w:rsid w:val="00991C4D"/>
    <w:rsid w:val="009A2190"/>
    <w:rsid w:val="009A5790"/>
    <w:rsid w:val="009A5BEB"/>
    <w:rsid w:val="009A66BA"/>
    <w:rsid w:val="009A6A1E"/>
    <w:rsid w:val="009A736C"/>
    <w:rsid w:val="009B41C7"/>
    <w:rsid w:val="009B4379"/>
    <w:rsid w:val="009B5F54"/>
    <w:rsid w:val="009B5FAF"/>
    <w:rsid w:val="009B7BC8"/>
    <w:rsid w:val="009C1D90"/>
    <w:rsid w:val="009C36D9"/>
    <w:rsid w:val="009C5133"/>
    <w:rsid w:val="009C7709"/>
    <w:rsid w:val="009D1563"/>
    <w:rsid w:val="009D6ADF"/>
    <w:rsid w:val="009E1978"/>
    <w:rsid w:val="009E3BB8"/>
    <w:rsid w:val="009E49B6"/>
    <w:rsid w:val="009E76BB"/>
    <w:rsid w:val="009F23E7"/>
    <w:rsid w:val="009F611D"/>
    <w:rsid w:val="00A065AD"/>
    <w:rsid w:val="00A10722"/>
    <w:rsid w:val="00A12AC4"/>
    <w:rsid w:val="00A1305F"/>
    <w:rsid w:val="00A13463"/>
    <w:rsid w:val="00A17158"/>
    <w:rsid w:val="00A20F1F"/>
    <w:rsid w:val="00A27556"/>
    <w:rsid w:val="00A31B18"/>
    <w:rsid w:val="00A32920"/>
    <w:rsid w:val="00A35BD4"/>
    <w:rsid w:val="00A3607A"/>
    <w:rsid w:val="00A40275"/>
    <w:rsid w:val="00A41805"/>
    <w:rsid w:val="00A41FC4"/>
    <w:rsid w:val="00A47571"/>
    <w:rsid w:val="00A50AC4"/>
    <w:rsid w:val="00A51127"/>
    <w:rsid w:val="00A52F22"/>
    <w:rsid w:val="00A56ECC"/>
    <w:rsid w:val="00A574F0"/>
    <w:rsid w:val="00A635C1"/>
    <w:rsid w:val="00A63B79"/>
    <w:rsid w:val="00A646EB"/>
    <w:rsid w:val="00A67D94"/>
    <w:rsid w:val="00A72539"/>
    <w:rsid w:val="00A7333A"/>
    <w:rsid w:val="00A7597D"/>
    <w:rsid w:val="00A833D9"/>
    <w:rsid w:val="00A90BFC"/>
    <w:rsid w:val="00A9754A"/>
    <w:rsid w:val="00AA00AA"/>
    <w:rsid w:val="00AA2789"/>
    <w:rsid w:val="00AA699C"/>
    <w:rsid w:val="00AB41DE"/>
    <w:rsid w:val="00AB4D26"/>
    <w:rsid w:val="00AB6EC9"/>
    <w:rsid w:val="00AB6F57"/>
    <w:rsid w:val="00AC6DDE"/>
    <w:rsid w:val="00AD02BD"/>
    <w:rsid w:val="00AD4F49"/>
    <w:rsid w:val="00AE155D"/>
    <w:rsid w:val="00AE303B"/>
    <w:rsid w:val="00AE6BCD"/>
    <w:rsid w:val="00AE6C58"/>
    <w:rsid w:val="00AF173B"/>
    <w:rsid w:val="00AF20E9"/>
    <w:rsid w:val="00AF3D74"/>
    <w:rsid w:val="00AF4823"/>
    <w:rsid w:val="00AF6947"/>
    <w:rsid w:val="00B019CC"/>
    <w:rsid w:val="00B051D1"/>
    <w:rsid w:val="00B0679B"/>
    <w:rsid w:val="00B0679C"/>
    <w:rsid w:val="00B117A9"/>
    <w:rsid w:val="00B13A27"/>
    <w:rsid w:val="00B155FB"/>
    <w:rsid w:val="00B16050"/>
    <w:rsid w:val="00B3212B"/>
    <w:rsid w:val="00B33EFE"/>
    <w:rsid w:val="00B42546"/>
    <w:rsid w:val="00B42C7E"/>
    <w:rsid w:val="00B43022"/>
    <w:rsid w:val="00B47BF6"/>
    <w:rsid w:val="00B51383"/>
    <w:rsid w:val="00B51CF2"/>
    <w:rsid w:val="00B55D1A"/>
    <w:rsid w:val="00B561EC"/>
    <w:rsid w:val="00B56F2B"/>
    <w:rsid w:val="00B71B5A"/>
    <w:rsid w:val="00B77993"/>
    <w:rsid w:val="00B819A1"/>
    <w:rsid w:val="00B82EB8"/>
    <w:rsid w:val="00B91F39"/>
    <w:rsid w:val="00B92E68"/>
    <w:rsid w:val="00B9381E"/>
    <w:rsid w:val="00B95809"/>
    <w:rsid w:val="00BC1230"/>
    <w:rsid w:val="00BC2CBE"/>
    <w:rsid w:val="00BC2FB2"/>
    <w:rsid w:val="00BC62E0"/>
    <w:rsid w:val="00BC6346"/>
    <w:rsid w:val="00BD020D"/>
    <w:rsid w:val="00BD21CD"/>
    <w:rsid w:val="00BD4D6C"/>
    <w:rsid w:val="00BD5760"/>
    <w:rsid w:val="00BD6B6F"/>
    <w:rsid w:val="00BD73FB"/>
    <w:rsid w:val="00BE154B"/>
    <w:rsid w:val="00BE7A46"/>
    <w:rsid w:val="00BF09CC"/>
    <w:rsid w:val="00BF3951"/>
    <w:rsid w:val="00BF65F7"/>
    <w:rsid w:val="00C00B7F"/>
    <w:rsid w:val="00C014F5"/>
    <w:rsid w:val="00C03978"/>
    <w:rsid w:val="00C03E45"/>
    <w:rsid w:val="00C05B54"/>
    <w:rsid w:val="00C079D5"/>
    <w:rsid w:val="00C07CB9"/>
    <w:rsid w:val="00C173C1"/>
    <w:rsid w:val="00C20476"/>
    <w:rsid w:val="00C2194B"/>
    <w:rsid w:val="00C22106"/>
    <w:rsid w:val="00C23203"/>
    <w:rsid w:val="00C27931"/>
    <w:rsid w:val="00C325C9"/>
    <w:rsid w:val="00C33C62"/>
    <w:rsid w:val="00C341AA"/>
    <w:rsid w:val="00C360EA"/>
    <w:rsid w:val="00C36901"/>
    <w:rsid w:val="00C41304"/>
    <w:rsid w:val="00C42C73"/>
    <w:rsid w:val="00C47972"/>
    <w:rsid w:val="00C52B51"/>
    <w:rsid w:val="00C54433"/>
    <w:rsid w:val="00C545AB"/>
    <w:rsid w:val="00C64240"/>
    <w:rsid w:val="00C64283"/>
    <w:rsid w:val="00C67C07"/>
    <w:rsid w:val="00C70B54"/>
    <w:rsid w:val="00C72A6F"/>
    <w:rsid w:val="00C80049"/>
    <w:rsid w:val="00C80CB4"/>
    <w:rsid w:val="00C932F7"/>
    <w:rsid w:val="00C9410E"/>
    <w:rsid w:val="00C9701C"/>
    <w:rsid w:val="00CA23C7"/>
    <w:rsid w:val="00CA26EF"/>
    <w:rsid w:val="00CA382E"/>
    <w:rsid w:val="00CA4B10"/>
    <w:rsid w:val="00CB221F"/>
    <w:rsid w:val="00CB6554"/>
    <w:rsid w:val="00CB6EFB"/>
    <w:rsid w:val="00CC1CDC"/>
    <w:rsid w:val="00CC4049"/>
    <w:rsid w:val="00CD3D19"/>
    <w:rsid w:val="00CD4B5A"/>
    <w:rsid w:val="00CD610F"/>
    <w:rsid w:val="00CE00F6"/>
    <w:rsid w:val="00CE211D"/>
    <w:rsid w:val="00CE245C"/>
    <w:rsid w:val="00CE297E"/>
    <w:rsid w:val="00CE4F66"/>
    <w:rsid w:val="00CF1D36"/>
    <w:rsid w:val="00CF2B38"/>
    <w:rsid w:val="00D021AB"/>
    <w:rsid w:val="00D02C39"/>
    <w:rsid w:val="00D04B86"/>
    <w:rsid w:val="00D04EA7"/>
    <w:rsid w:val="00D05654"/>
    <w:rsid w:val="00D07B10"/>
    <w:rsid w:val="00D07CC2"/>
    <w:rsid w:val="00D1369B"/>
    <w:rsid w:val="00D14047"/>
    <w:rsid w:val="00D17DFC"/>
    <w:rsid w:val="00D24841"/>
    <w:rsid w:val="00D27417"/>
    <w:rsid w:val="00D337D8"/>
    <w:rsid w:val="00D359C3"/>
    <w:rsid w:val="00D40F8F"/>
    <w:rsid w:val="00D43E34"/>
    <w:rsid w:val="00D458D5"/>
    <w:rsid w:val="00D46379"/>
    <w:rsid w:val="00D52132"/>
    <w:rsid w:val="00D532A6"/>
    <w:rsid w:val="00D610C7"/>
    <w:rsid w:val="00D612F0"/>
    <w:rsid w:val="00D65943"/>
    <w:rsid w:val="00D65B71"/>
    <w:rsid w:val="00D66CBA"/>
    <w:rsid w:val="00D67D03"/>
    <w:rsid w:val="00D74FEE"/>
    <w:rsid w:val="00D7571A"/>
    <w:rsid w:val="00D77A75"/>
    <w:rsid w:val="00D83F68"/>
    <w:rsid w:val="00D90B42"/>
    <w:rsid w:val="00D94637"/>
    <w:rsid w:val="00D968FD"/>
    <w:rsid w:val="00DA15F2"/>
    <w:rsid w:val="00DA5272"/>
    <w:rsid w:val="00DB01E6"/>
    <w:rsid w:val="00DB160A"/>
    <w:rsid w:val="00DB3352"/>
    <w:rsid w:val="00DB49F1"/>
    <w:rsid w:val="00DB7073"/>
    <w:rsid w:val="00DC176E"/>
    <w:rsid w:val="00DC2DFF"/>
    <w:rsid w:val="00DC3B5C"/>
    <w:rsid w:val="00DC494F"/>
    <w:rsid w:val="00DC7CED"/>
    <w:rsid w:val="00DD1880"/>
    <w:rsid w:val="00DD2326"/>
    <w:rsid w:val="00DD6539"/>
    <w:rsid w:val="00DD75CC"/>
    <w:rsid w:val="00DE26D8"/>
    <w:rsid w:val="00DE5445"/>
    <w:rsid w:val="00DE629F"/>
    <w:rsid w:val="00DE68FC"/>
    <w:rsid w:val="00DE6C3B"/>
    <w:rsid w:val="00DE7E23"/>
    <w:rsid w:val="00DF0808"/>
    <w:rsid w:val="00DF35D9"/>
    <w:rsid w:val="00E0013D"/>
    <w:rsid w:val="00E127B0"/>
    <w:rsid w:val="00E14C2B"/>
    <w:rsid w:val="00E14F88"/>
    <w:rsid w:val="00E20E92"/>
    <w:rsid w:val="00E20EEE"/>
    <w:rsid w:val="00E21DC8"/>
    <w:rsid w:val="00E22FC8"/>
    <w:rsid w:val="00E2425D"/>
    <w:rsid w:val="00E2548C"/>
    <w:rsid w:val="00E3415A"/>
    <w:rsid w:val="00E365DF"/>
    <w:rsid w:val="00E41FA0"/>
    <w:rsid w:val="00E516ED"/>
    <w:rsid w:val="00E51B3F"/>
    <w:rsid w:val="00E52D10"/>
    <w:rsid w:val="00E53604"/>
    <w:rsid w:val="00E57440"/>
    <w:rsid w:val="00E57EC3"/>
    <w:rsid w:val="00E60FDA"/>
    <w:rsid w:val="00E65307"/>
    <w:rsid w:val="00E73720"/>
    <w:rsid w:val="00E77A8A"/>
    <w:rsid w:val="00E83EC3"/>
    <w:rsid w:val="00E8400D"/>
    <w:rsid w:val="00E9177E"/>
    <w:rsid w:val="00E92CA0"/>
    <w:rsid w:val="00EA1AC0"/>
    <w:rsid w:val="00EA5702"/>
    <w:rsid w:val="00EB147A"/>
    <w:rsid w:val="00EB26C2"/>
    <w:rsid w:val="00EB3733"/>
    <w:rsid w:val="00EC1662"/>
    <w:rsid w:val="00ED031F"/>
    <w:rsid w:val="00ED62B0"/>
    <w:rsid w:val="00EE14FC"/>
    <w:rsid w:val="00EE3BCD"/>
    <w:rsid w:val="00EE3E48"/>
    <w:rsid w:val="00EE4B4B"/>
    <w:rsid w:val="00EE51B0"/>
    <w:rsid w:val="00EE68A8"/>
    <w:rsid w:val="00EF40AD"/>
    <w:rsid w:val="00EF4B1A"/>
    <w:rsid w:val="00EF59CE"/>
    <w:rsid w:val="00EF5AB9"/>
    <w:rsid w:val="00EF5D71"/>
    <w:rsid w:val="00EF64DA"/>
    <w:rsid w:val="00F04403"/>
    <w:rsid w:val="00F06851"/>
    <w:rsid w:val="00F10614"/>
    <w:rsid w:val="00F1080F"/>
    <w:rsid w:val="00F13120"/>
    <w:rsid w:val="00F241E7"/>
    <w:rsid w:val="00F2512B"/>
    <w:rsid w:val="00F27143"/>
    <w:rsid w:val="00F30898"/>
    <w:rsid w:val="00F31B55"/>
    <w:rsid w:val="00F31C68"/>
    <w:rsid w:val="00F362BA"/>
    <w:rsid w:val="00F45F3B"/>
    <w:rsid w:val="00F46AE7"/>
    <w:rsid w:val="00F478EA"/>
    <w:rsid w:val="00F56D73"/>
    <w:rsid w:val="00F63E18"/>
    <w:rsid w:val="00F65D97"/>
    <w:rsid w:val="00F73403"/>
    <w:rsid w:val="00F82CB2"/>
    <w:rsid w:val="00F91EBD"/>
    <w:rsid w:val="00F92E7F"/>
    <w:rsid w:val="00FA092F"/>
    <w:rsid w:val="00FB5937"/>
    <w:rsid w:val="00FB6D49"/>
    <w:rsid w:val="00FD0326"/>
    <w:rsid w:val="00FD56EF"/>
    <w:rsid w:val="00FD5E88"/>
    <w:rsid w:val="00FD5FE8"/>
    <w:rsid w:val="00FD6869"/>
    <w:rsid w:val="00FE07C6"/>
    <w:rsid w:val="00FE0B64"/>
    <w:rsid w:val="00FE0E0F"/>
    <w:rsid w:val="00FE110C"/>
    <w:rsid w:val="00FE38AE"/>
    <w:rsid w:val="00FE5497"/>
    <w:rsid w:val="00FE7F84"/>
    <w:rsid w:val="00FF43B3"/>
    <w:rsid w:val="047C279E"/>
    <w:rsid w:val="0DC824D6"/>
    <w:rsid w:val="17977DE7"/>
    <w:rsid w:val="181F2E1C"/>
    <w:rsid w:val="1CA45C61"/>
    <w:rsid w:val="1E1A4E3E"/>
    <w:rsid w:val="38F8419F"/>
    <w:rsid w:val="402633C9"/>
    <w:rsid w:val="5549072C"/>
    <w:rsid w:val="560D0A56"/>
    <w:rsid w:val="68871E5E"/>
    <w:rsid w:val="70F6489E"/>
    <w:rsid w:val="761E7BA4"/>
    <w:rsid w:val="7CCF22A2"/>
    <w:rsid w:val="7D545F9C"/>
    <w:rsid w:val="7D7B4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EA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lang w:eastAsia="en-US"/>
    </w:rPr>
  </w:style>
  <w:style w:type="paragraph" w:styleId="berschrift1">
    <w:name w:val="heading 1"/>
    <w:basedOn w:val="Standard"/>
    <w:next w:val="Standard"/>
    <w:qFormat/>
    <w:pPr>
      <w:keepNext/>
      <w:tabs>
        <w:tab w:val="left" w:pos="432"/>
      </w:tabs>
      <w:spacing w:before="240" w:after="240"/>
      <w:ind w:left="432" w:hanging="432"/>
      <w:outlineLvl w:val="0"/>
    </w:pPr>
    <w:rPr>
      <w:b/>
      <w:kern w:val="28"/>
      <w:sz w:val="28"/>
    </w:rPr>
  </w:style>
  <w:style w:type="paragraph" w:styleId="berschrift2">
    <w:name w:val="heading 2"/>
    <w:basedOn w:val="Standard"/>
    <w:next w:val="Standard"/>
    <w:qFormat/>
    <w:pPr>
      <w:keepNext/>
      <w:tabs>
        <w:tab w:val="left" w:pos="576"/>
      </w:tabs>
      <w:spacing w:before="240" w:after="240"/>
      <w:ind w:left="576" w:hanging="576"/>
      <w:outlineLvl w:val="1"/>
    </w:pPr>
    <w:rPr>
      <w:b/>
    </w:rPr>
  </w:style>
  <w:style w:type="paragraph" w:styleId="berschrift3">
    <w:name w:val="heading 3"/>
    <w:basedOn w:val="berschrift2"/>
    <w:next w:val="Standard"/>
    <w:qFormat/>
    <w:pPr>
      <w:outlineLvl w:val="2"/>
    </w:pPr>
    <w:rPr>
      <w:b w:val="0"/>
    </w:rPr>
  </w:style>
  <w:style w:type="paragraph" w:styleId="berschrift4">
    <w:name w:val="heading 4"/>
    <w:basedOn w:val="Standard"/>
    <w:next w:val="Standard"/>
    <w:qFormat/>
    <w:pPr>
      <w:keepNext/>
      <w:tabs>
        <w:tab w:val="left" w:pos="864"/>
      </w:tabs>
      <w:ind w:left="864" w:hanging="864"/>
      <w:outlineLvl w:val="3"/>
    </w:pPr>
    <w:rPr>
      <w:b/>
      <w:sz w:val="28"/>
    </w:rPr>
  </w:style>
  <w:style w:type="paragraph" w:styleId="berschrift5">
    <w:name w:val="heading 5"/>
    <w:basedOn w:val="Standard"/>
    <w:next w:val="Standard"/>
    <w:qFormat/>
    <w:pPr>
      <w:tabs>
        <w:tab w:val="left" w:pos="1008"/>
      </w:tabs>
      <w:spacing w:before="240" w:after="60"/>
      <w:ind w:left="1008" w:hanging="1008"/>
      <w:outlineLvl w:val="4"/>
    </w:pPr>
    <w:rPr>
      <w:b/>
      <w:bCs/>
      <w:i/>
      <w:iCs/>
      <w:sz w:val="26"/>
      <w:szCs w:val="26"/>
    </w:rPr>
  </w:style>
  <w:style w:type="paragraph" w:styleId="berschrift6">
    <w:name w:val="heading 6"/>
    <w:basedOn w:val="Standard"/>
    <w:next w:val="Standard"/>
    <w:qFormat/>
    <w:pPr>
      <w:tabs>
        <w:tab w:val="left" w:pos="1152"/>
      </w:tabs>
      <w:spacing w:before="240" w:after="60"/>
      <w:ind w:left="1152" w:hanging="1152"/>
      <w:outlineLvl w:val="5"/>
    </w:pPr>
    <w:rPr>
      <w:b/>
      <w:bCs/>
      <w:sz w:val="22"/>
      <w:szCs w:val="22"/>
    </w:rPr>
  </w:style>
  <w:style w:type="paragraph" w:styleId="berschrift7">
    <w:name w:val="heading 7"/>
    <w:basedOn w:val="Standard"/>
    <w:next w:val="Standard"/>
    <w:qFormat/>
    <w:pPr>
      <w:tabs>
        <w:tab w:val="left" w:pos="1296"/>
      </w:tabs>
      <w:spacing w:before="240" w:after="60"/>
      <w:ind w:left="1296" w:hanging="1296"/>
      <w:outlineLvl w:val="6"/>
    </w:pPr>
    <w:rPr>
      <w:szCs w:val="24"/>
    </w:rPr>
  </w:style>
  <w:style w:type="paragraph" w:styleId="berschrift8">
    <w:name w:val="heading 8"/>
    <w:basedOn w:val="Standard"/>
    <w:next w:val="Standard"/>
    <w:qFormat/>
    <w:pPr>
      <w:tabs>
        <w:tab w:val="left" w:pos="1440"/>
      </w:tabs>
      <w:spacing w:before="240" w:after="60"/>
      <w:ind w:left="1440" w:hanging="1440"/>
      <w:outlineLvl w:val="7"/>
    </w:pPr>
    <w:rPr>
      <w:i/>
      <w:iCs/>
      <w:szCs w:val="24"/>
    </w:rPr>
  </w:style>
  <w:style w:type="paragraph" w:styleId="berschrift9">
    <w:name w:val="heading 9"/>
    <w:basedOn w:val="Standard"/>
    <w:next w:val="Standard"/>
    <w:qFormat/>
    <w:pPr>
      <w:tabs>
        <w:tab w:val="left" w:pos="1584"/>
      </w:tabs>
      <w:spacing w:before="240" w:after="60"/>
      <w:ind w:left="1584" w:hanging="1584"/>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7">
    <w:name w:val="toc 7"/>
    <w:basedOn w:val="Standard"/>
    <w:next w:val="Standard"/>
    <w:semiHidden/>
    <w:qFormat/>
    <w:pPr>
      <w:ind w:left="1440"/>
    </w:pPr>
  </w:style>
  <w:style w:type="paragraph" w:styleId="Kommentartext">
    <w:name w:val="annotation text"/>
    <w:basedOn w:val="Standard"/>
    <w:semiHidden/>
    <w:rPr>
      <w:sz w:val="20"/>
    </w:rPr>
  </w:style>
  <w:style w:type="paragraph" w:styleId="Textkrper">
    <w:name w:val="Body Text"/>
    <w:basedOn w:val="Standard"/>
    <w:link w:val="TextkrperZchn"/>
    <w:uiPriority w:val="1"/>
    <w:qFormat/>
    <w:pPr>
      <w:spacing w:after="120"/>
    </w:pPr>
  </w:style>
  <w:style w:type="paragraph" w:styleId="Verzeichnis5">
    <w:name w:val="toc 5"/>
    <w:basedOn w:val="Standard"/>
    <w:next w:val="Standard"/>
    <w:semiHidden/>
    <w:pPr>
      <w:ind w:left="960"/>
    </w:pPr>
  </w:style>
  <w:style w:type="paragraph" w:styleId="Verzeichnis3">
    <w:name w:val="toc 3"/>
    <w:basedOn w:val="Standard"/>
    <w:next w:val="Standard"/>
    <w:semiHidden/>
    <w:qFormat/>
    <w:pPr>
      <w:ind w:left="480"/>
    </w:pPr>
  </w:style>
  <w:style w:type="paragraph" w:styleId="Verzeichnis8">
    <w:name w:val="toc 8"/>
    <w:basedOn w:val="Standard"/>
    <w:next w:val="Standard"/>
    <w:semiHidden/>
    <w:qFormat/>
    <w:pPr>
      <w:ind w:left="1680"/>
    </w:pPr>
  </w:style>
  <w:style w:type="paragraph" w:styleId="Textkrper-Einzug2">
    <w:name w:val="Body Text Indent 2"/>
    <w:basedOn w:val="Standard"/>
    <w:pPr>
      <w:ind w:firstLine="709"/>
    </w:pPr>
    <w:rPr>
      <w:lang w:val="en-GB"/>
    </w:rPr>
  </w:style>
  <w:style w:type="paragraph" w:styleId="Sprechblasentext">
    <w:name w:val="Balloon Text"/>
    <w:basedOn w:val="Standard"/>
    <w:semiHidden/>
    <w:qFormat/>
    <w:rPr>
      <w:rFonts w:ascii="Tahoma" w:hAnsi="Tahoma" w:cs="Tahoma"/>
      <w:sz w:val="16"/>
      <w:szCs w:val="16"/>
    </w:rPr>
  </w:style>
  <w:style w:type="paragraph" w:styleId="Fuzeile">
    <w:name w:val="footer"/>
    <w:basedOn w:val="Standard"/>
    <w:qFormat/>
    <w:pPr>
      <w:tabs>
        <w:tab w:val="center" w:pos="4320"/>
        <w:tab w:val="right" w:pos="8640"/>
      </w:tabs>
    </w:pPr>
  </w:style>
  <w:style w:type="paragraph" w:styleId="Kopfzeile">
    <w:name w:val="header"/>
    <w:basedOn w:val="Standard"/>
    <w:link w:val="KopfzeileZchn"/>
    <w:uiPriority w:val="99"/>
    <w:qFormat/>
    <w:pPr>
      <w:tabs>
        <w:tab w:val="center" w:pos="4320"/>
        <w:tab w:val="right" w:pos="8640"/>
      </w:tabs>
    </w:pPr>
  </w:style>
  <w:style w:type="paragraph" w:styleId="Verzeichnis1">
    <w:name w:val="toc 1"/>
    <w:basedOn w:val="Standard"/>
    <w:next w:val="Standard"/>
    <w:uiPriority w:val="39"/>
    <w:qFormat/>
    <w:pPr>
      <w:tabs>
        <w:tab w:val="left" w:pos="720"/>
        <w:tab w:val="right" w:leader="dot" w:pos="9350"/>
      </w:tabs>
    </w:pPr>
    <w:rPr>
      <w:szCs w:val="28"/>
      <w:lang w:eastAsia="zh-CN"/>
    </w:rPr>
  </w:style>
  <w:style w:type="paragraph" w:styleId="Verzeichnis4">
    <w:name w:val="toc 4"/>
    <w:basedOn w:val="Standard"/>
    <w:next w:val="Standard"/>
    <w:semiHidden/>
    <w:qFormat/>
    <w:pPr>
      <w:ind w:left="720"/>
    </w:pPr>
  </w:style>
  <w:style w:type="paragraph" w:styleId="Funotentext">
    <w:name w:val="footnote text"/>
    <w:basedOn w:val="Standard"/>
    <w:semiHidden/>
    <w:rPr>
      <w:sz w:val="20"/>
    </w:rPr>
  </w:style>
  <w:style w:type="paragraph" w:styleId="Verzeichnis6">
    <w:name w:val="toc 6"/>
    <w:basedOn w:val="Standard"/>
    <w:next w:val="Standard"/>
    <w:semiHidden/>
    <w:qFormat/>
    <w:pPr>
      <w:ind w:left="1200"/>
    </w:pPr>
  </w:style>
  <w:style w:type="paragraph" w:styleId="Verzeichnis2">
    <w:name w:val="toc 2"/>
    <w:basedOn w:val="Standard"/>
    <w:next w:val="Standard"/>
    <w:semiHidden/>
    <w:qFormat/>
    <w:pPr>
      <w:tabs>
        <w:tab w:val="left" w:pos="1440"/>
        <w:tab w:val="right" w:pos="9338"/>
      </w:tabs>
      <w:ind w:left="709"/>
    </w:pPr>
    <w:rPr>
      <w:lang w:eastAsia="zh-CN"/>
    </w:rPr>
  </w:style>
  <w:style w:type="paragraph" w:styleId="Verzeichnis9">
    <w:name w:val="toc 9"/>
    <w:basedOn w:val="Standard"/>
    <w:next w:val="Standard"/>
    <w:semiHidden/>
    <w:qFormat/>
    <w:pPr>
      <w:ind w:left="1920"/>
    </w:pPr>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szCs w:val="24"/>
      <w:lang w:eastAsia="zh-CN"/>
    </w:rPr>
  </w:style>
  <w:style w:type="paragraph" w:styleId="StandardWeb">
    <w:name w:val="Normal (Web)"/>
    <w:basedOn w:val="Standard"/>
    <w:qFormat/>
    <w:pPr>
      <w:spacing w:before="100" w:beforeAutospacing="1" w:after="100" w:afterAutospacing="1"/>
    </w:pPr>
    <w:rPr>
      <w:szCs w:val="24"/>
    </w:rPr>
  </w:style>
  <w:style w:type="paragraph" w:styleId="Kommentarthema">
    <w:name w:val="annotation subject"/>
    <w:basedOn w:val="Kommentartext"/>
    <w:next w:val="Kommentartext"/>
    <w:semiHidden/>
    <w:qFormat/>
    <w:rPr>
      <w:b/>
      <w:bCs/>
    </w:rPr>
  </w:style>
  <w:style w:type="character" w:styleId="Fett">
    <w:name w:val="Strong"/>
    <w:qFormat/>
    <w:rPr>
      <w:b/>
    </w:rPr>
  </w:style>
  <w:style w:type="character" w:styleId="BesuchterLink">
    <w:name w:val="FollowedHyperlink"/>
    <w:rPr>
      <w:color w:val="000000"/>
      <w:sz w:val="21"/>
      <w:szCs w:val="21"/>
      <w:u w:val="single"/>
    </w:rPr>
  </w:style>
  <w:style w:type="character" w:styleId="Hervorhebung">
    <w:name w:val="Emphasis"/>
    <w:qFormat/>
    <w:rPr>
      <w:i/>
    </w:rPr>
  </w:style>
  <w:style w:type="character" w:styleId="Zeilennummer">
    <w:name w:val="line number"/>
    <w:basedOn w:val="Absatz-Standardschriftart"/>
  </w:style>
  <w:style w:type="character" w:styleId="Hyperlink">
    <w:name w:val="Hyperlink"/>
    <w:uiPriority w:val="99"/>
    <w:rPr>
      <w:color w:val="000000"/>
      <w:sz w:val="21"/>
      <w:szCs w:val="21"/>
      <w:u w:val="single"/>
    </w:rPr>
  </w:style>
  <w:style w:type="character" w:styleId="Kommentarzeichen">
    <w:name w:val="annotation reference"/>
    <w:semiHidden/>
    <w:rPr>
      <w:sz w:val="16"/>
      <w:szCs w:val="16"/>
    </w:rPr>
  </w:style>
  <w:style w:type="character" w:styleId="Funotenzeichen">
    <w:name w:val="footnote reference"/>
    <w:semiHidden/>
    <w:rPr>
      <w:vertAlign w:val="superscript"/>
    </w:rPr>
  </w:style>
  <w:style w:type="character" w:customStyle="1" w:styleId="CharChar">
    <w:name w:val="Char Char"/>
    <w:rPr>
      <w:sz w:val="24"/>
      <w:lang w:val="en-GB" w:eastAsia="en-US" w:bidi="ar-SA"/>
    </w:rPr>
  </w:style>
  <w:style w:type="character" w:customStyle="1" w:styleId="HTMLVorformatiertZchn">
    <w:name w:val="HTML Vorformatiert Zchn"/>
    <w:link w:val="HTMLVorformatiert"/>
    <w:uiPriority w:val="99"/>
    <w:rPr>
      <w:rFonts w:ascii="SimSun" w:hAnsi="SimSun" w:cs="SimSun"/>
      <w:sz w:val="24"/>
      <w:szCs w:val="24"/>
    </w:rPr>
  </w:style>
  <w:style w:type="character" w:customStyle="1" w:styleId="GDSSectionSub-level3Char">
    <w:name w:val="GDS Section Sub-level 3 Char"/>
    <w:link w:val="GDSSectionSub-level3"/>
    <w:rPr>
      <w:rFonts w:ascii="Calibri" w:eastAsia="SimSun" w:hAnsi="Calibri" w:cs="Calibri"/>
      <w:bCs/>
      <w:sz w:val="22"/>
      <w:szCs w:val="22"/>
      <w:lang w:eastAsia="en-US"/>
    </w:rPr>
  </w:style>
  <w:style w:type="paragraph" w:customStyle="1" w:styleId="GDSSectionSub-level3">
    <w:name w:val="GDS Section Sub-level 3"/>
    <w:basedOn w:val="GDSSectionSub-level2"/>
    <w:link w:val="GDSSectionSub-level3Char"/>
    <w:qFormat/>
    <w:pPr>
      <w:outlineLvl w:val="2"/>
    </w:pPr>
    <w:rPr>
      <w:rFonts w:cs="Times New Roman"/>
    </w:rPr>
  </w:style>
  <w:style w:type="paragraph" w:customStyle="1" w:styleId="GDSSectionSub-level2">
    <w:name w:val="GDS Section Sub-level 2"/>
    <w:basedOn w:val="GDSSectionHeadingLevel1"/>
    <w:qFormat/>
    <w:pPr>
      <w:tabs>
        <w:tab w:val="left" w:pos="900"/>
      </w:tabs>
      <w:spacing w:before="0" w:after="0"/>
      <w:ind w:left="792" w:hanging="432"/>
      <w:outlineLvl w:val="1"/>
    </w:pPr>
    <w:rPr>
      <w:rFonts w:ascii="Calibri" w:hAnsi="Calibri"/>
      <w:b w:val="0"/>
      <w:caps w:val="0"/>
      <w:sz w:val="22"/>
      <w:szCs w:val="22"/>
      <w:u w:val="none"/>
    </w:rPr>
  </w:style>
  <w:style w:type="paragraph" w:customStyle="1" w:styleId="GDSSectionHeadingLevel1">
    <w:name w:val="GDS Section Heading Level 1"/>
    <w:basedOn w:val="Kopfzeile"/>
    <w:qFormat/>
    <w:pPr>
      <w:tabs>
        <w:tab w:val="clear" w:pos="4320"/>
        <w:tab w:val="clear" w:pos="8640"/>
      </w:tabs>
      <w:spacing w:before="240" w:after="120"/>
      <w:ind w:left="450" w:hanging="360"/>
      <w:outlineLvl w:val="0"/>
    </w:pPr>
    <w:rPr>
      <w:rFonts w:ascii="Cambria" w:hAnsi="Cambria" w:cs="Calibri"/>
      <w:b/>
      <w:bCs/>
      <w:caps/>
      <w:szCs w:val="24"/>
      <w:u w:val="single"/>
    </w:rPr>
  </w:style>
  <w:style w:type="character" w:customStyle="1" w:styleId="A10">
    <w:name w:val="A10"/>
    <w:uiPriority w:val="99"/>
    <w:rPr>
      <w:rFonts w:cs="Cambria"/>
      <w:color w:val="000000"/>
      <w:sz w:val="20"/>
      <w:szCs w:val="20"/>
      <w:u w:val="single"/>
    </w:rPr>
  </w:style>
  <w:style w:type="character" w:customStyle="1" w:styleId="cataloguedetail-doctitle1">
    <w:name w:val="cataloguedetail-doctitle1"/>
    <w:qFormat/>
    <w:rPr>
      <w:rFonts w:ascii="Verdana" w:hAnsi="Verdana" w:hint="default"/>
      <w:b/>
      <w:bCs/>
      <w:color w:val="002597"/>
      <w:sz w:val="18"/>
      <w:szCs w:val="18"/>
    </w:rPr>
  </w:style>
  <w:style w:type="character" w:customStyle="1" w:styleId="A8">
    <w:name w:val="A8"/>
    <w:uiPriority w:val="99"/>
    <w:qFormat/>
    <w:rPr>
      <w:rFonts w:cs="Cambria"/>
      <w:color w:val="000000"/>
      <w:sz w:val="22"/>
      <w:szCs w:val="22"/>
      <w:u w:val="single"/>
    </w:rPr>
  </w:style>
  <w:style w:type="paragraph" w:styleId="Listenabsatz">
    <w:name w:val="List Paragraph"/>
    <w:basedOn w:val="Standard"/>
    <w:uiPriority w:val="34"/>
    <w:qFormat/>
    <w:pPr>
      <w:ind w:firstLineChars="200" w:firstLine="420"/>
    </w:pPr>
  </w:style>
  <w:style w:type="paragraph" w:customStyle="1" w:styleId="GDSSectionSub-level4">
    <w:name w:val="GDS Section Sub-level 4"/>
    <w:basedOn w:val="GDSSectionSub-level3"/>
    <w:qFormat/>
    <w:pPr>
      <w:tabs>
        <w:tab w:val="left" w:pos="1080"/>
      </w:tabs>
      <w:ind w:left="1080" w:hanging="360"/>
      <w:outlineLvl w:val="3"/>
    </w:pPr>
  </w:style>
  <w:style w:type="paragraph" w:customStyle="1" w:styleId="GDSSectionSub-level5">
    <w:name w:val="GDS Section Sub-level 5"/>
    <w:basedOn w:val="GDSSectionSub-level4"/>
    <w:qFormat/>
    <w:pPr>
      <w:outlineLvl w:val="4"/>
    </w:pPr>
  </w:style>
  <w:style w:type="paragraph" w:customStyle="1" w:styleId="Pa19">
    <w:name w:val="Pa19"/>
    <w:basedOn w:val="Standard"/>
    <w:next w:val="Standard"/>
    <w:uiPriority w:val="99"/>
    <w:qFormat/>
    <w:pPr>
      <w:widowControl w:val="0"/>
      <w:autoSpaceDE w:val="0"/>
      <w:autoSpaceDN w:val="0"/>
      <w:adjustRightInd w:val="0"/>
      <w:spacing w:line="221" w:lineRule="atLeast"/>
    </w:pPr>
    <w:rPr>
      <w:rFonts w:ascii="Cambria" w:hAnsi="Cambria"/>
      <w:szCs w:val="24"/>
      <w:lang w:eastAsia="zh-CN"/>
    </w:rPr>
  </w:style>
  <w:style w:type="paragraph" w:customStyle="1" w:styleId="Pa33">
    <w:name w:val="Pa33"/>
    <w:basedOn w:val="Standard"/>
    <w:next w:val="Standard"/>
    <w:uiPriority w:val="99"/>
    <w:pPr>
      <w:widowControl w:val="0"/>
      <w:autoSpaceDE w:val="0"/>
      <w:autoSpaceDN w:val="0"/>
      <w:adjustRightInd w:val="0"/>
      <w:spacing w:line="241" w:lineRule="atLeast"/>
    </w:pPr>
    <w:rPr>
      <w:rFonts w:ascii="Cambria" w:hAnsi="Cambria"/>
      <w:szCs w:val="24"/>
      <w:lang w:eastAsia="zh-CN"/>
    </w:rPr>
  </w:style>
  <w:style w:type="paragraph" w:customStyle="1" w:styleId="xmsonormal">
    <w:name w:val="x_msonormal"/>
    <w:basedOn w:val="Standard"/>
    <w:rPr>
      <w:rFonts w:ascii="Calibri" w:hAnsi="Calibri"/>
      <w:sz w:val="22"/>
      <w:szCs w:val="22"/>
      <w:lang w:eastAsia="zh-CN"/>
    </w:rPr>
  </w:style>
  <w:style w:type="paragraph" w:customStyle="1" w:styleId="Pa24">
    <w:name w:val="Pa24"/>
    <w:basedOn w:val="Standard"/>
    <w:next w:val="Standard"/>
    <w:uiPriority w:val="99"/>
    <w:qFormat/>
    <w:pPr>
      <w:widowControl w:val="0"/>
      <w:autoSpaceDE w:val="0"/>
      <w:autoSpaceDN w:val="0"/>
      <w:adjustRightInd w:val="0"/>
      <w:spacing w:line="221" w:lineRule="atLeast"/>
    </w:pPr>
    <w:rPr>
      <w:rFonts w:ascii="Cambria" w:hAnsi="Cambria"/>
      <w:szCs w:val="24"/>
      <w:lang w:eastAsia="zh-CN"/>
    </w:rPr>
  </w:style>
  <w:style w:type="paragraph" w:customStyle="1" w:styleId="1">
    <w:name w:val="修订1"/>
    <w:uiPriority w:val="99"/>
    <w:semiHidden/>
    <w:rPr>
      <w:sz w:val="24"/>
      <w:lang w:eastAsia="en-US"/>
    </w:rPr>
  </w:style>
  <w:style w:type="character" w:customStyle="1" w:styleId="TextkrperZchn">
    <w:name w:val="Textkörper Zchn"/>
    <w:link w:val="Textkrper"/>
    <w:uiPriority w:val="1"/>
    <w:qFormat/>
    <w:rPr>
      <w:sz w:val="24"/>
      <w:lang w:eastAsia="en-US"/>
    </w:rPr>
  </w:style>
  <w:style w:type="character" w:customStyle="1" w:styleId="fontstyle01">
    <w:name w:val="fontstyle01"/>
    <w:qFormat/>
    <w:rPr>
      <w:rFonts w:ascii="TimesNewRomanPSMT" w:hAnsi="TimesNewRomanPSMT" w:hint="default"/>
      <w:color w:val="000000"/>
      <w:sz w:val="24"/>
      <w:szCs w:val="24"/>
    </w:rPr>
  </w:style>
  <w:style w:type="character" w:customStyle="1" w:styleId="KopfzeileZchn">
    <w:name w:val="Kopfzeile Zchn"/>
    <w:link w:val="Kopfzeile"/>
    <w:uiPriority w:val="99"/>
    <w:rPr>
      <w:sz w:val="24"/>
      <w:lang w:eastAsia="en-US"/>
    </w:rPr>
  </w:style>
  <w:style w:type="paragraph" w:styleId="berarbeitung">
    <w:name w:val="Revision"/>
    <w:hidden/>
    <w:uiPriority w:val="99"/>
    <w:semiHidden/>
    <w:rsid w:val="00CA23C7"/>
    <w:rPr>
      <w:sz w:val="24"/>
      <w:lang w:eastAsia="en-US"/>
    </w:rPr>
  </w:style>
  <w:style w:type="paragraph" w:styleId="Titel">
    <w:name w:val="Title"/>
    <w:basedOn w:val="Standard"/>
    <w:next w:val="Standard"/>
    <w:link w:val="TitelZchn"/>
    <w:qFormat/>
    <w:rsid w:val="00D90B42"/>
    <w:pPr>
      <w:spacing w:before="240" w:after="60"/>
      <w:jc w:val="center"/>
      <w:outlineLvl w:val="0"/>
    </w:pPr>
    <w:rPr>
      <w:rFonts w:asciiTheme="majorHAnsi" w:eastAsiaTheme="majorEastAsia" w:hAnsiTheme="majorHAnsi" w:cstheme="majorBidi"/>
      <w:b/>
      <w:bCs/>
      <w:sz w:val="32"/>
      <w:szCs w:val="32"/>
    </w:rPr>
  </w:style>
  <w:style w:type="character" w:customStyle="1" w:styleId="TitelZchn">
    <w:name w:val="Titel Zchn"/>
    <w:basedOn w:val="Absatz-Standardschriftart"/>
    <w:link w:val="Titel"/>
    <w:rsid w:val="00D90B42"/>
    <w:rPr>
      <w:rFonts w:asciiTheme="majorHAnsi" w:eastAsiaTheme="majorEastAsia" w:hAnsiTheme="majorHAnsi" w:cstheme="majorBid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477971">
      <w:bodyDiv w:val="1"/>
      <w:marLeft w:val="0"/>
      <w:marRight w:val="0"/>
      <w:marTop w:val="0"/>
      <w:marBottom w:val="0"/>
      <w:divBdr>
        <w:top w:val="none" w:sz="0" w:space="0" w:color="auto"/>
        <w:left w:val="none" w:sz="0" w:space="0" w:color="auto"/>
        <w:bottom w:val="none" w:sz="0" w:space="0" w:color="auto"/>
        <w:right w:val="none" w:sz="0" w:space="0" w:color="auto"/>
      </w:divBdr>
    </w:div>
    <w:div w:id="1138300487">
      <w:bodyDiv w:val="1"/>
      <w:marLeft w:val="0"/>
      <w:marRight w:val="0"/>
      <w:marTop w:val="0"/>
      <w:marBottom w:val="0"/>
      <w:divBdr>
        <w:top w:val="none" w:sz="0" w:space="0" w:color="auto"/>
        <w:left w:val="none" w:sz="0" w:space="0" w:color="auto"/>
        <w:bottom w:val="none" w:sz="0" w:space="0" w:color="auto"/>
        <w:right w:val="none" w:sz="0" w:space="0" w:color="auto"/>
      </w:divBdr>
    </w:div>
    <w:div w:id="1386637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htf.org/documents/sg1/sg1final-n11.pdf" TargetMode="External"/><Relationship Id="rId18" Type="http://schemas.openxmlformats.org/officeDocument/2006/relationships/hyperlink" Target="http://www.ghtf.org/documents/sg5/sg5_n1r8_2007final.pdf" TargetMode="External"/><Relationship Id="rId3" Type="http://schemas.openxmlformats.org/officeDocument/2006/relationships/numbering" Target="numbering.xml"/><Relationship Id="rId21" Type="http://schemas.openxmlformats.org/officeDocument/2006/relationships/hyperlink" Target="http://www.ghtf.org/sg5/inventorysg5/SG5_PD_N2R7.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htf.org/documents/sg5/sg5_n1r8_2007final.pdf" TargetMode="External"/><Relationship Id="rId2" Type="http://schemas.openxmlformats.org/officeDocument/2006/relationships/customXml" Target="../customXml/item2.xml"/><Relationship Id="rId16" Type="http://schemas.openxmlformats.org/officeDocument/2006/relationships/hyperlink" Target="http://www.imdrf.org/docs/ghtf/final/sg1/technical-docs/ghtf-sg1-n78-2012-conformity-assessment-medical-devices-121102.docx" TargetMode="External"/><Relationship Id="rId20" Type="http://schemas.openxmlformats.org/officeDocument/2006/relationships/hyperlink" Target="http://www.wma.net/en/30publications/10policies/b3/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htf.org/documents/sg1/sg1n41r92005.pd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iso.org/iso/en/CatalogueDetailPage.CatalogueDetail?CSNUMBER=31550&amp;ICS1=11&amp;ICS2=40&amp;ICS3=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htf.org/documents/sg1/sg1n29r162005.pdf" TargetMode="External"/><Relationship Id="rId22"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D8351842-9BE5-4038-B493-B9BE6545E9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2367</Words>
  <Characters>16303</Characters>
  <Application>Microsoft Office Word</Application>
  <DocSecurity>0</DocSecurity>
  <Lines>135</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Investigation</dc:title>
  <dc:subject>medical devices</dc:subject>
  <dc:creator/>
  <cp:lastModifiedBy/>
  <cp:revision>1</cp:revision>
  <dcterms:created xsi:type="dcterms:W3CDTF">2020-08-12T13:41:00Z</dcterms:created>
  <dcterms:modified xsi:type="dcterms:W3CDTF">2020-08-12T13:41:00Z</dcterms:modified>
</cp:coreProperties>
</file>